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48A79" w14:textId="77777777" w:rsidR="00C27583" w:rsidRDefault="00C27583"/>
    <w:p w14:paraId="6E21049E" w14:textId="77777777" w:rsidR="00C27583" w:rsidRDefault="00C2758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7"/>
        <w:gridCol w:w="1490"/>
        <w:gridCol w:w="236"/>
        <w:gridCol w:w="925"/>
        <w:gridCol w:w="2464"/>
        <w:gridCol w:w="236"/>
        <w:gridCol w:w="2260"/>
        <w:gridCol w:w="298"/>
        <w:gridCol w:w="635"/>
        <w:gridCol w:w="338"/>
      </w:tblGrid>
      <w:tr w:rsidR="0054383D" w:rsidRPr="00EC04CF" w14:paraId="325E642F" w14:textId="77777777" w:rsidTr="004D3687">
        <w:trPr>
          <w:trHeight w:val="522"/>
        </w:trPr>
        <w:tc>
          <w:tcPr>
            <w:tcW w:w="697" w:type="dxa"/>
            <w:tcBorders>
              <w:top w:val="nil"/>
              <w:left w:val="nil"/>
              <w:bottom w:val="nil"/>
              <w:right w:val="nil"/>
            </w:tcBorders>
            <w:vAlign w:val="bottom"/>
          </w:tcPr>
          <w:p w14:paraId="03BB183D" w14:textId="77777777" w:rsidR="0054383D" w:rsidRPr="00EC04CF" w:rsidRDefault="0054383D" w:rsidP="004D3687">
            <w:pPr>
              <w:rPr>
                <w:b/>
                <w:bCs/>
              </w:rPr>
            </w:pPr>
            <w:r w:rsidRPr="00EC04CF">
              <w:rPr>
                <w:b/>
                <w:bCs/>
              </w:rPr>
              <w:t>Date</w:t>
            </w:r>
          </w:p>
        </w:tc>
        <w:tc>
          <w:tcPr>
            <w:tcW w:w="1490" w:type="dxa"/>
            <w:tcBorders>
              <w:top w:val="nil"/>
              <w:left w:val="nil"/>
              <w:bottom w:val="dotted" w:sz="4" w:space="0" w:color="auto"/>
              <w:right w:val="nil"/>
            </w:tcBorders>
            <w:vAlign w:val="bottom"/>
          </w:tcPr>
          <w:p w14:paraId="3B9D92EF" w14:textId="0C4BF20A" w:rsidR="0054383D" w:rsidRPr="00EC04CF" w:rsidRDefault="00613BE5" w:rsidP="000E71D5">
            <w:pPr>
              <w:tabs>
                <w:tab w:val="left" w:pos="1175"/>
              </w:tabs>
              <w:ind w:left="102"/>
              <w:rPr>
                <w:b/>
                <w:bCs/>
              </w:rPr>
            </w:pPr>
            <w:r>
              <w:rPr>
                <w:b/>
                <w:bCs/>
              </w:rPr>
              <w:t>03</w:t>
            </w:r>
            <w:r w:rsidR="009C22EE">
              <w:rPr>
                <w:b/>
                <w:bCs/>
              </w:rPr>
              <w:t xml:space="preserve"> /</w:t>
            </w:r>
            <w:r w:rsidR="000E71D5">
              <w:rPr>
                <w:b/>
                <w:bCs/>
              </w:rPr>
              <w:t>0</w:t>
            </w:r>
            <w:r>
              <w:rPr>
                <w:b/>
                <w:bCs/>
              </w:rPr>
              <w:t>5</w:t>
            </w:r>
            <w:r w:rsidR="009C22EE">
              <w:rPr>
                <w:b/>
                <w:bCs/>
              </w:rPr>
              <w:t xml:space="preserve"> / 20</w:t>
            </w:r>
            <w:r w:rsidR="008A25A0">
              <w:rPr>
                <w:b/>
                <w:bCs/>
              </w:rPr>
              <w:t>20</w:t>
            </w:r>
          </w:p>
        </w:tc>
        <w:tc>
          <w:tcPr>
            <w:tcW w:w="236" w:type="dxa"/>
            <w:tcBorders>
              <w:top w:val="nil"/>
              <w:left w:val="nil"/>
              <w:bottom w:val="nil"/>
              <w:right w:val="nil"/>
            </w:tcBorders>
            <w:vAlign w:val="bottom"/>
          </w:tcPr>
          <w:p w14:paraId="271AAC33" w14:textId="77777777" w:rsidR="0054383D" w:rsidRPr="00EC04CF" w:rsidRDefault="0054383D" w:rsidP="004D3687">
            <w:pPr>
              <w:rPr>
                <w:b/>
                <w:bCs/>
              </w:rPr>
            </w:pPr>
          </w:p>
        </w:tc>
        <w:tc>
          <w:tcPr>
            <w:tcW w:w="925" w:type="dxa"/>
            <w:tcBorders>
              <w:top w:val="nil"/>
              <w:left w:val="nil"/>
              <w:bottom w:val="nil"/>
              <w:right w:val="nil"/>
            </w:tcBorders>
            <w:vAlign w:val="bottom"/>
          </w:tcPr>
          <w:p w14:paraId="454CDE0B" w14:textId="77777777" w:rsidR="0054383D" w:rsidRPr="00EC04CF" w:rsidRDefault="0054383D" w:rsidP="004D3687">
            <w:pPr>
              <w:rPr>
                <w:b/>
                <w:bCs/>
              </w:rPr>
            </w:pPr>
            <w:r w:rsidRPr="00EC04CF">
              <w:rPr>
                <w:b/>
                <w:bCs/>
              </w:rPr>
              <w:t>Time:</w:t>
            </w:r>
          </w:p>
        </w:tc>
        <w:tc>
          <w:tcPr>
            <w:tcW w:w="2464" w:type="dxa"/>
            <w:tcBorders>
              <w:top w:val="nil"/>
              <w:left w:val="nil"/>
              <w:bottom w:val="dotted" w:sz="4" w:space="0" w:color="auto"/>
              <w:right w:val="nil"/>
            </w:tcBorders>
            <w:vAlign w:val="bottom"/>
          </w:tcPr>
          <w:p w14:paraId="30EF2AB5" w14:textId="4ADE2ED8" w:rsidR="0054383D" w:rsidRPr="00EC04CF" w:rsidRDefault="008A25A0" w:rsidP="001F6CE9">
            <w:pPr>
              <w:rPr>
                <w:b/>
                <w:bCs/>
              </w:rPr>
            </w:pPr>
            <w:r>
              <w:rPr>
                <w:b/>
                <w:bCs/>
              </w:rPr>
              <w:t>5:00</w:t>
            </w:r>
            <w:r w:rsidR="00C4028B">
              <w:rPr>
                <w:b/>
                <w:bCs/>
              </w:rPr>
              <w:t xml:space="preserve"> </w:t>
            </w:r>
            <w:r>
              <w:rPr>
                <w:b/>
                <w:bCs/>
              </w:rPr>
              <w:t xml:space="preserve">PM </w:t>
            </w:r>
            <w:r w:rsidR="00C4028B">
              <w:rPr>
                <w:b/>
                <w:bCs/>
              </w:rPr>
              <w:t xml:space="preserve">– </w:t>
            </w:r>
            <w:r>
              <w:rPr>
                <w:b/>
                <w:bCs/>
              </w:rPr>
              <w:t>6:</w:t>
            </w:r>
            <w:r w:rsidR="00C4028B">
              <w:rPr>
                <w:b/>
                <w:bCs/>
              </w:rPr>
              <w:t>00 PM</w:t>
            </w:r>
          </w:p>
        </w:tc>
        <w:tc>
          <w:tcPr>
            <w:tcW w:w="236" w:type="dxa"/>
            <w:tcBorders>
              <w:top w:val="nil"/>
              <w:left w:val="nil"/>
              <w:bottom w:val="nil"/>
              <w:right w:val="nil"/>
            </w:tcBorders>
            <w:vAlign w:val="bottom"/>
          </w:tcPr>
          <w:p w14:paraId="62462C02" w14:textId="77777777" w:rsidR="0054383D" w:rsidRPr="00EC04CF" w:rsidRDefault="0054383D" w:rsidP="004D3687">
            <w:pPr>
              <w:rPr>
                <w:b/>
                <w:bCs/>
              </w:rPr>
            </w:pPr>
          </w:p>
        </w:tc>
        <w:tc>
          <w:tcPr>
            <w:tcW w:w="2260" w:type="dxa"/>
            <w:tcBorders>
              <w:top w:val="nil"/>
              <w:left w:val="nil"/>
              <w:bottom w:val="nil"/>
              <w:right w:val="single" w:sz="12" w:space="0" w:color="auto"/>
            </w:tcBorders>
            <w:vAlign w:val="bottom"/>
          </w:tcPr>
          <w:p w14:paraId="391322CB" w14:textId="77777777" w:rsidR="0054383D" w:rsidRPr="00EC04CF" w:rsidRDefault="0054383D" w:rsidP="000E71D5">
            <w:pPr>
              <w:ind w:left="432" w:hanging="432"/>
              <w:rPr>
                <w:b/>
                <w:bCs/>
              </w:rPr>
            </w:pPr>
            <w:r w:rsidRPr="00EC04CF">
              <w:rPr>
                <w:b/>
                <w:bCs/>
              </w:rPr>
              <w:t>Total Weighted Mark:</w:t>
            </w:r>
          </w:p>
        </w:tc>
        <w:tc>
          <w:tcPr>
            <w:tcW w:w="298" w:type="dxa"/>
            <w:tcBorders>
              <w:top w:val="single" w:sz="12" w:space="0" w:color="auto"/>
              <w:left w:val="single" w:sz="12" w:space="0" w:color="auto"/>
              <w:bottom w:val="nil"/>
              <w:right w:val="nil"/>
            </w:tcBorders>
          </w:tcPr>
          <w:p w14:paraId="2E2A85F6" w14:textId="77777777" w:rsidR="0054383D" w:rsidRPr="00EC04CF" w:rsidRDefault="0054383D" w:rsidP="004D3687">
            <w:pPr>
              <w:spacing w:line="360" w:lineRule="auto"/>
              <w:rPr>
                <w:b/>
                <w:bCs/>
                <w:sz w:val="28"/>
                <w:szCs w:val="28"/>
              </w:rPr>
            </w:pPr>
          </w:p>
        </w:tc>
        <w:tc>
          <w:tcPr>
            <w:tcW w:w="635" w:type="dxa"/>
            <w:tcBorders>
              <w:top w:val="single" w:sz="12" w:space="0" w:color="auto"/>
              <w:left w:val="nil"/>
              <w:bottom w:val="single" w:sz="12" w:space="0" w:color="auto"/>
              <w:right w:val="nil"/>
            </w:tcBorders>
          </w:tcPr>
          <w:p w14:paraId="3061FB65" w14:textId="77777777" w:rsidR="0054383D" w:rsidRPr="00EC04CF" w:rsidRDefault="0054383D" w:rsidP="004D3687">
            <w:pPr>
              <w:spacing w:line="360" w:lineRule="auto"/>
              <w:rPr>
                <w:b/>
                <w:bCs/>
                <w:sz w:val="28"/>
                <w:szCs w:val="28"/>
              </w:rPr>
            </w:pPr>
          </w:p>
        </w:tc>
        <w:tc>
          <w:tcPr>
            <w:tcW w:w="338" w:type="dxa"/>
            <w:tcBorders>
              <w:top w:val="single" w:sz="12" w:space="0" w:color="auto"/>
              <w:left w:val="nil"/>
              <w:bottom w:val="nil"/>
              <w:right w:val="single" w:sz="12" w:space="0" w:color="auto"/>
            </w:tcBorders>
          </w:tcPr>
          <w:p w14:paraId="39F6210B" w14:textId="77777777" w:rsidR="0054383D" w:rsidRPr="00EC04CF" w:rsidRDefault="0054383D" w:rsidP="004D3687">
            <w:pPr>
              <w:spacing w:line="360" w:lineRule="auto"/>
              <w:rPr>
                <w:b/>
                <w:bCs/>
                <w:sz w:val="28"/>
                <w:szCs w:val="28"/>
              </w:rPr>
            </w:pPr>
          </w:p>
        </w:tc>
      </w:tr>
      <w:tr w:rsidR="0054383D" w:rsidRPr="00EC04CF" w14:paraId="6DF63D96" w14:textId="77777777" w:rsidTr="004D3687">
        <w:trPr>
          <w:trHeight w:val="522"/>
        </w:trPr>
        <w:tc>
          <w:tcPr>
            <w:tcW w:w="697" w:type="dxa"/>
            <w:tcBorders>
              <w:top w:val="nil"/>
              <w:left w:val="nil"/>
              <w:bottom w:val="nil"/>
              <w:right w:val="nil"/>
            </w:tcBorders>
          </w:tcPr>
          <w:p w14:paraId="6A3639F6" w14:textId="77777777" w:rsidR="0054383D" w:rsidRPr="00EC04CF" w:rsidRDefault="0054383D" w:rsidP="004D3687">
            <w:pPr>
              <w:spacing w:line="360" w:lineRule="auto"/>
              <w:rPr>
                <w:b/>
                <w:bCs/>
                <w:sz w:val="28"/>
                <w:szCs w:val="28"/>
              </w:rPr>
            </w:pPr>
          </w:p>
        </w:tc>
        <w:tc>
          <w:tcPr>
            <w:tcW w:w="1490" w:type="dxa"/>
            <w:tcBorders>
              <w:top w:val="dotted" w:sz="4" w:space="0" w:color="auto"/>
              <w:left w:val="nil"/>
              <w:bottom w:val="nil"/>
              <w:right w:val="nil"/>
            </w:tcBorders>
          </w:tcPr>
          <w:p w14:paraId="3D5A78DF" w14:textId="77777777" w:rsidR="0054383D" w:rsidRPr="00EC04CF" w:rsidRDefault="0054383D" w:rsidP="004D3687">
            <w:pPr>
              <w:spacing w:line="360" w:lineRule="auto"/>
              <w:rPr>
                <w:b/>
                <w:bCs/>
                <w:sz w:val="28"/>
                <w:szCs w:val="28"/>
              </w:rPr>
            </w:pPr>
          </w:p>
        </w:tc>
        <w:tc>
          <w:tcPr>
            <w:tcW w:w="236" w:type="dxa"/>
            <w:tcBorders>
              <w:top w:val="nil"/>
              <w:left w:val="nil"/>
              <w:bottom w:val="nil"/>
              <w:right w:val="nil"/>
            </w:tcBorders>
          </w:tcPr>
          <w:p w14:paraId="52DBC912" w14:textId="77777777" w:rsidR="0054383D" w:rsidRPr="00EC04CF" w:rsidRDefault="0054383D" w:rsidP="004D3687">
            <w:pPr>
              <w:spacing w:line="360" w:lineRule="auto"/>
              <w:rPr>
                <w:b/>
                <w:bCs/>
                <w:sz w:val="28"/>
                <w:szCs w:val="28"/>
              </w:rPr>
            </w:pPr>
          </w:p>
        </w:tc>
        <w:tc>
          <w:tcPr>
            <w:tcW w:w="3389" w:type="dxa"/>
            <w:gridSpan w:val="2"/>
            <w:tcBorders>
              <w:top w:val="nil"/>
              <w:left w:val="nil"/>
              <w:bottom w:val="nil"/>
              <w:right w:val="nil"/>
            </w:tcBorders>
          </w:tcPr>
          <w:p w14:paraId="54BD8B02" w14:textId="77777777" w:rsidR="0054383D" w:rsidRPr="00EC04CF" w:rsidRDefault="0054383D" w:rsidP="004D3687">
            <w:pPr>
              <w:spacing w:line="360" w:lineRule="auto"/>
              <w:jc w:val="center"/>
              <w:rPr>
                <w:b/>
                <w:bCs/>
                <w:sz w:val="28"/>
                <w:szCs w:val="28"/>
              </w:rPr>
            </w:pPr>
          </w:p>
        </w:tc>
        <w:tc>
          <w:tcPr>
            <w:tcW w:w="236" w:type="dxa"/>
            <w:tcBorders>
              <w:top w:val="nil"/>
              <w:left w:val="nil"/>
              <w:bottom w:val="nil"/>
              <w:right w:val="nil"/>
            </w:tcBorders>
          </w:tcPr>
          <w:p w14:paraId="068AB2E8" w14:textId="77777777" w:rsidR="0054383D" w:rsidRPr="00EC04CF" w:rsidRDefault="0054383D" w:rsidP="004D3687">
            <w:pPr>
              <w:spacing w:line="360" w:lineRule="auto"/>
              <w:jc w:val="center"/>
              <w:rPr>
                <w:b/>
                <w:bCs/>
                <w:sz w:val="28"/>
                <w:szCs w:val="28"/>
              </w:rPr>
            </w:pPr>
          </w:p>
        </w:tc>
        <w:tc>
          <w:tcPr>
            <w:tcW w:w="2260" w:type="dxa"/>
            <w:tcBorders>
              <w:top w:val="nil"/>
              <w:left w:val="nil"/>
              <w:bottom w:val="nil"/>
              <w:right w:val="single" w:sz="12" w:space="0" w:color="auto"/>
            </w:tcBorders>
          </w:tcPr>
          <w:p w14:paraId="11FE2655" w14:textId="77777777" w:rsidR="0054383D" w:rsidRPr="00EC04CF" w:rsidRDefault="0054383D" w:rsidP="004D3687">
            <w:pPr>
              <w:spacing w:line="360" w:lineRule="auto"/>
              <w:rPr>
                <w:b/>
                <w:bCs/>
                <w:sz w:val="28"/>
                <w:szCs w:val="28"/>
              </w:rPr>
            </w:pPr>
          </w:p>
        </w:tc>
        <w:tc>
          <w:tcPr>
            <w:tcW w:w="298" w:type="dxa"/>
            <w:tcBorders>
              <w:top w:val="nil"/>
              <w:left w:val="single" w:sz="12" w:space="0" w:color="auto"/>
              <w:bottom w:val="single" w:sz="12" w:space="0" w:color="auto"/>
              <w:right w:val="nil"/>
            </w:tcBorders>
          </w:tcPr>
          <w:p w14:paraId="5E113942" w14:textId="77777777" w:rsidR="0054383D" w:rsidRPr="00EC04CF" w:rsidRDefault="0054383D" w:rsidP="004D3687">
            <w:pPr>
              <w:spacing w:line="360" w:lineRule="auto"/>
              <w:rPr>
                <w:b/>
                <w:bCs/>
                <w:sz w:val="28"/>
                <w:szCs w:val="28"/>
              </w:rPr>
            </w:pPr>
          </w:p>
        </w:tc>
        <w:tc>
          <w:tcPr>
            <w:tcW w:w="635" w:type="dxa"/>
            <w:tcBorders>
              <w:top w:val="single" w:sz="12" w:space="0" w:color="auto"/>
              <w:left w:val="nil"/>
              <w:bottom w:val="single" w:sz="12" w:space="0" w:color="auto"/>
              <w:right w:val="nil"/>
            </w:tcBorders>
          </w:tcPr>
          <w:p w14:paraId="55CE8386" w14:textId="3C42C438" w:rsidR="0054383D" w:rsidRPr="00EC04CF" w:rsidRDefault="0054383D" w:rsidP="00275EE4">
            <w:pPr>
              <w:spacing w:line="360" w:lineRule="auto"/>
              <w:rPr>
                <w:b/>
                <w:bCs/>
                <w:sz w:val="28"/>
                <w:szCs w:val="28"/>
              </w:rPr>
            </w:pPr>
            <w:r>
              <w:rPr>
                <w:b/>
                <w:bCs/>
                <w:sz w:val="28"/>
                <w:szCs w:val="28"/>
              </w:rPr>
              <w:t xml:space="preserve"> </w:t>
            </w:r>
            <w:r w:rsidR="008A25A0">
              <w:rPr>
                <w:b/>
                <w:bCs/>
                <w:sz w:val="28"/>
                <w:szCs w:val="28"/>
              </w:rPr>
              <w:t>40</w:t>
            </w:r>
          </w:p>
        </w:tc>
        <w:tc>
          <w:tcPr>
            <w:tcW w:w="338" w:type="dxa"/>
            <w:tcBorders>
              <w:top w:val="nil"/>
              <w:left w:val="nil"/>
              <w:bottom w:val="single" w:sz="12" w:space="0" w:color="auto"/>
              <w:right w:val="single" w:sz="12" w:space="0" w:color="auto"/>
            </w:tcBorders>
          </w:tcPr>
          <w:p w14:paraId="6E9890C1" w14:textId="77777777" w:rsidR="0054383D" w:rsidRPr="00EC04CF" w:rsidRDefault="0054383D" w:rsidP="004D3687">
            <w:pPr>
              <w:spacing w:line="360" w:lineRule="auto"/>
              <w:rPr>
                <w:b/>
                <w:bCs/>
                <w:sz w:val="28"/>
                <w:szCs w:val="28"/>
              </w:rPr>
            </w:pPr>
          </w:p>
        </w:tc>
      </w:tr>
    </w:tbl>
    <w:tbl>
      <w:tblPr>
        <w:tblpPr w:leftFromText="180" w:rightFromText="180" w:vertAnchor="text" w:tblpY="1"/>
        <w:tblOverlap w:val="never"/>
        <w:tblW w:w="11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6"/>
        <w:gridCol w:w="917"/>
        <w:gridCol w:w="354"/>
        <w:gridCol w:w="4608"/>
        <w:gridCol w:w="923"/>
        <w:gridCol w:w="2965"/>
      </w:tblGrid>
      <w:tr w:rsidR="0054383D" w:rsidRPr="00EC04CF" w14:paraId="2234DAFE" w14:textId="77777777" w:rsidTr="004D3687">
        <w:trPr>
          <w:trHeight w:val="616"/>
        </w:trPr>
        <w:tc>
          <w:tcPr>
            <w:tcW w:w="2423" w:type="dxa"/>
            <w:gridSpan w:val="2"/>
            <w:tcBorders>
              <w:top w:val="nil"/>
              <w:left w:val="nil"/>
              <w:bottom w:val="nil"/>
              <w:right w:val="nil"/>
            </w:tcBorders>
            <w:vAlign w:val="bottom"/>
          </w:tcPr>
          <w:p w14:paraId="1AA59EE7" w14:textId="77777777" w:rsidR="0054383D" w:rsidRPr="00EC04CF" w:rsidRDefault="0054383D" w:rsidP="004D3687">
            <w:pPr>
              <w:rPr>
                <w:b/>
                <w:bCs/>
              </w:rPr>
            </w:pPr>
            <w:r w:rsidRPr="00EC04CF">
              <w:rPr>
                <w:b/>
                <w:bCs/>
              </w:rPr>
              <w:t>Student’s Name</w:t>
            </w:r>
            <w:r w:rsidRPr="00EC04CF">
              <w:rPr>
                <w:b/>
                <w:bCs/>
              </w:rPr>
              <w:tab/>
              <w:t xml:space="preserve"> </w:t>
            </w:r>
          </w:p>
        </w:tc>
        <w:tc>
          <w:tcPr>
            <w:tcW w:w="5885" w:type="dxa"/>
            <w:gridSpan w:val="3"/>
            <w:tcBorders>
              <w:top w:val="nil"/>
              <w:left w:val="nil"/>
              <w:bottom w:val="dotted" w:sz="4" w:space="0" w:color="auto"/>
              <w:right w:val="nil"/>
            </w:tcBorders>
            <w:vAlign w:val="bottom"/>
          </w:tcPr>
          <w:p w14:paraId="5ECDBDB0" w14:textId="620CE1B0" w:rsidR="0054383D" w:rsidRPr="00EC04CF" w:rsidRDefault="003912C3" w:rsidP="004D3687">
            <w:pPr>
              <w:spacing w:line="360" w:lineRule="auto"/>
              <w:ind w:left="372"/>
              <w:rPr>
                <w:b/>
                <w:bCs/>
                <w:sz w:val="28"/>
                <w:szCs w:val="28"/>
              </w:rPr>
            </w:pPr>
            <w:r>
              <w:rPr>
                <w:b/>
                <w:bCs/>
                <w:sz w:val="28"/>
                <w:szCs w:val="28"/>
              </w:rPr>
              <w:t xml:space="preserve"> </w:t>
            </w:r>
            <w:r w:rsidR="003476F8">
              <w:rPr>
                <w:b/>
                <w:bCs/>
                <w:sz w:val="28"/>
                <w:szCs w:val="28"/>
              </w:rPr>
              <w:t>Noora Abdulla  Ali Ahmed Al  Ali</w:t>
            </w:r>
          </w:p>
        </w:tc>
        <w:tc>
          <w:tcPr>
            <w:tcW w:w="2965" w:type="dxa"/>
            <w:tcBorders>
              <w:top w:val="nil"/>
              <w:left w:val="nil"/>
              <w:bottom w:val="nil"/>
              <w:right w:val="nil"/>
            </w:tcBorders>
          </w:tcPr>
          <w:p w14:paraId="15F2E481" w14:textId="77777777" w:rsidR="0054383D" w:rsidRPr="00EC04CF" w:rsidRDefault="0054383D" w:rsidP="004D3687">
            <w:pPr>
              <w:spacing w:line="360" w:lineRule="auto"/>
              <w:ind w:left="372"/>
              <w:rPr>
                <w:b/>
                <w:bCs/>
                <w:sz w:val="28"/>
                <w:szCs w:val="28"/>
              </w:rPr>
            </w:pPr>
          </w:p>
        </w:tc>
      </w:tr>
      <w:tr w:rsidR="0054383D" w:rsidRPr="00EC04CF" w14:paraId="39340E15" w14:textId="77777777" w:rsidTr="004D3687">
        <w:trPr>
          <w:trHeight w:val="700"/>
        </w:trPr>
        <w:tc>
          <w:tcPr>
            <w:tcW w:w="2423" w:type="dxa"/>
            <w:gridSpan w:val="2"/>
            <w:tcBorders>
              <w:top w:val="nil"/>
              <w:left w:val="nil"/>
              <w:bottom w:val="nil"/>
              <w:right w:val="nil"/>
            </w:tcBorders>
            <w:vAlign w:val="bottom"/>
          </w:tcPr>
          <w:p w14:paraId="60C2099A" w14:textId="77777777" w:rsidR="0054383D" w:rsidRPr="00EC04CF" w:rsidRDefault="0054383D" w:rsidP="004D3687">
            <w:pPr>
              <w:rPr>
                <w:b/>
                <w:bCs/>
              </w:rPr>
            </w:pPr>
            <w:r w:rsidRPr="00EC04CF">
              <w:rPr>
                <w:b/>
                <w:bCs/>
              </w:rPr>
              <w:t>Student’s ID</w:t>
            </w:r>
          </w:p>
        </w:tc>
        <w:tc>
          <w:tcPr>
            <w:tcW w:w="5885" w:type="dxa"/>
            <w:gridSpan w:val="3"/>
            <w:tcBorders>
              <w:top w:val="nil"/>
              <w:left w:val="nil"/>
              <w:bottom w:val="dotted" w:sz="4" w:space="0" w:color="auto"/>
              <w:right w:val="nil"/>
            </w:tcBorders>
            <w:vAlign w:val="bottom"/>
          </w:tcPr>
          <w:p w14:paraId="0EF75627" w14:textId="1FAE442D" w:rsidR="0054383D" w:rsidRPr="00EC04CF" w:rsidRDefault="003476F8" w:rsidP="004D3687">
            <w:pPr>
              <w:spacing w:line="360" w:lineRule="auto"/>
              <w:ind w:left="372"/>
              <w:rPr>
                <w:b/>
                <w:bCs/>
                <w:sz w:val="28"/>
                <w:szCs w:val="28"/>
              </w:rPr>
            </w:pPr>
            <w:r>
              <w:rPr>
                <w:b/>
                <w:bCs/>
                <w:sz w:val="28"/>
                <w:szCs w:val="28"/>
              </w:rPr>
              <w:t>BAF20022089</w:t>
            </w:r>
            <w:r w:rsidR="003912C3">
              <w:rPr>
                <w:b/>
                <w:bCs/>
                <w:sz w:val="28"/>
                <w:szCs w:val="28"/>
              </w:rPr>
              <w:t xml:space="preserve"> </w:t>
            </w:r>
          </w:p>
        </w:tc>
        <w:tc>
          <w:tcPr>
            <w:tcW w:w="2965" w:type="dxa"/>
            <w:tcBorders>
              <w:top w:val="nil"/>
              <w:left w:val="nil"/>
              <w:bottom w:val="nil"/>
              <w:right w:val="nil"/>
            </w:tcBorders>
          </w:tcPr>
          <w:p w14:paraId="41B0DDA6" w14:textId="77777777" w:rsidR="0054383D" w:rsidRPr="00EC04CF" w:rsidRDefault="0054383D" w:rsidP="004D3687">
            <w:pPr>
              <w:spacing w:line="360" w:lineRule="auto"/>
              <w:ind w:left="372"/>
              <w:rPr>
                <w:b/>
                <w:bCs/>
                <w:sz w:val="28"/>
                <w:szCs w:val="28"/>
              </w:rPr>
            </w:pPr>
          </w:p>
        </w:tc>
      </w:tr>
      <w:tr w:rsidR="0054383D" w:rsidRPr="00EC04CF" w14:paraId="574A3299" w14:textId="77777777" w:rsidTr="004D3687">
        <w:trPr>
          <w:trHeight w:val="489"/>
        </w:trPr>
        <w:tc>
          <w:tcPr>
            <w:tcW w:w="2423" w:type="dxa"/>
            <w:gridSpan w:val="2"/>
            <w:tcBorders>
              <w:top w:val="nil"/>
              <w:left w:val="nil"/>
              <w:bottom w:val="nil"/>
              <w:right w:val="nil"/>
            </w:tcBorders>
            <w:vAlign w:val="bottom"/>
          </w:tcPr>
          <w:p w14:paraId="1D0D213C" w14:textId="77777777" w:rsidR="0054383D" w:rsidRPr="00EC04CF" w:rsidRDefault="0054383D" w:rsidP="00275EE4">
            <w:pPr>
              <w:rPr>
                <w:b/>
                <w:bCs/>
              </w:rPr>
            </w:pPr>
            <w:r w:rsidRPr="00EC04CF">
              <w:rPr>
                <w:b/>
                <w:bCs/>
              </w:rPr>
              <w:t>Course Name</w:t>
            </w:r>
            <w:r w:rsidR="00920CD2">
              <w:rPr>
                <w:b/>
                <w:bCs/>
              </w:rPr>
              <w:t>/ C</w:t>
            </w:r>
            <w:r w:rsidR="00275EE4">
              <w:rPr>
                <w:b/>
                <w:bCs/>
              </w:rPr>
              <w:t>ode</w:t>
            </w:r>
          </w:p>
        </w:tc>
        <w:tc>
          <w:tcPr>
            <w:tcW w:w="4962" w:type="dxa"/>
            <w:gridSpan w:val="2"/>
            <w:tcBorders>
              <w:top w:val="nil"/>
              <w:left w:val="nil"/>
              <w:bottom w:val="dotted" w:sz="4" w:space="0" w:color="auto"/>
              <w:right w:val="nil"/>
            </w:tcBorders>
            <w:vAlign w:val="bottom"/>
          </w:tcPr>
          <w:p w14:paraId="1BC0B9F7" w14:textId="77777777" w:rsidR="0054383D" w:rsidRPr="00EC04CF" w:rsidRDefault="001F6CE9" w:rsidP="001F6CE9">
            <w:pPr>
              <w:rPr>
                <w:b/>
                <w:bCs/>
              </w:rPr>
            </w:pPr>
            <w:r>
              <w:rPr>
                <w:b/>
                <w:bCs/>
              </w:rPr>
              <w:t>Financial Institutions &amp; Markets</w:t>
            </w:r>
            <w:r w:rsidR="00C4028B">
              <w:rPr>
                <w:b/>
                <w:bCs/>
              </w:rPr>
              <w:t xml:space="preserve"> BAF </w:t>
            </w:r>
            <w:r>
              <w:rPr>
                <w:b/>
                <w:bCs/>
              </w:rPr>
              <w:t>403</w:t>
            </w:r>
            <w:r w:rsidR="00C4028B">
              <w:rPr>
                <w:b/>
                <w:bCs/>
              </w:rPr>
              <w:t xml:space="preserve">  </w:t>
            </w:r>
          </w:p>
        </w:tc>
        <w:tc>
          <w:tcPr>
            <w:tcW w:w="923" w:type="dxa"/>
            <w:tcBorders>
              <w:top w:val="nil"/>
              <w:left w:val="nil"/>
              <w:bottom w:val="dotted" w:sz="4" w:space="0" w:color="auto"/>
              <w:right w:val="nil"/>
            </w:tcBorders>
            <w:vAlign w:val="bottom"/>
          </w:tcPr>
          <w:p w14:paraId="4BAAF0ED" w14:textId="77777777" w:rsidR="0054383D" w:rsidRPr="00EC04CF" w:rsidRDefault="0054383D" w:rsidP="004D3687">
            <w:pPr>
              <w:rPr>
                <w:b/>
                <w:bCs/>
              </w:rPr>
            </w:pPr>
          </w:p>
        </w:tc>
        <w:tc>
          <w:tcPr>
            <w:tcW w:w="2965" w:type="dxa"/>
            <w:tcBorders>
              <w:top w:val="nil"/>
              <w:left w:val="nil"/>
              <w:bottom w:val="nil"/>
              <w:right w:val="nil"/>
            </w:tcBorders>
          </w:tcPr>
          <w:p w14:paraId="77E996C6" w14:textId="77777777" w:rsidR="0054383D" w:rsidRPr="00EC04CF" w:rsidRDefault="0054383D" w:rsidP="004D3687">
            <w:pPr>
              <w:ind w:left="372"/>
              <w:rPr>
                <w:b/>
                <w:bCs/>
                <w:sz w:val="28"/>
                <w:szCs w:val="28"/>
              </w:rPr>
            </w:pPr>
          </w:p>
        </w:tc>
      </w:tr>
      <w:tr w:rsidR="0054383D" w:rsidRPr="00EC04CF" w14:paraId="2D137327" w14:textId="77777777" w:rsidTr="004D3687">
        <w:trPr>
          <w:trHeight w:val="553"/>
        </w:trPr>
        <w:tc>
          <w:tcPr>
            <w:tcW w:w="2423" w:type="dxa"/>
            <w:gridSpan w:val="2"/>
            <w:tcBorders>
              <w:top w:val="nil"/>
              <w:left w:val="nil"/>
              <w:bottom w:val="nil"/>
              <w:right w:val="nil"/>
            </w:tcBorders>
            <w:vAlign w:val="bottom"/>
          </w:tcPr>
          <w:p w14:paraId="5483FD69" w14:textId="77777777" w:rsidR="0054383D" w:rsidRPr="00EC04CF" w:rsidRDefault="00275EE4" w:rsidP="004D3687">
            <w:pPr>
              <w:rPr>
                <w:b/>
                <w:bCs/>
              </w:rPr>
            </w:pPr>
            <w:r>
              <w:rPr>
                <w:b/>
                <w:bCs/>
              </w:rPr>
              <w:t>Instructor</w:t>
            </w:r>
          </w:p>
        </w:tc>
        <w:tc>
          <w:tcPr>
            <w:tcW w:w="5885" w:type="dxa"/>
            <w:gridSpan w:val="3"/>
            <w:tcBorders>
              <w:top w:val="dotted" w:sz="4" w:space="0" w:color="auto"/>
              <w:left w:val="nil"/>
              <w:bottom w:val="dotted" w:sz="4" w:space="0" w:color="auto"/>
              <w:right w:val="nil"/>
            </w:tcBorders>
            <w:vAlign w:val="bottom"/>
          </w:tcPr>
          <w:p w14:paraId="669D7936" w14:textId="77777777" w:rsidR="0054383D" w:rsidRPr="00EC04CF" w:rsidRDefault="00C4028B" w:rsidP="004D3687">
            <w:pPr>
              <w:rPr>
                <w:b/>
                <w:bCs/>
              </w:rPr>
            </w:pPr>
            <w:r>
              <w:rPr>
                <w:b/>
                <w:bCs/>
              </w:rPr>
              <w:t xml:space="preserve">Dr. Elias Abu AL-Haija </w:t>
            </w:r>
          </w:p>
        </w:tc>
        <w:tc>
          <w:tcPr>
            <w:tcW w:w="2965" w:type="dxa"/>
            <w:tcBorders>
              <w:top w:val="nil"/>
              <w:left w:val="nil"/>
              <w:bottom w:val="nil"/>
              <w:right w:val="nil"/>
            </w:tcBorders>
          </w:tcPr>
          <w:p w14:paraId="4240052D" w14:textId="77777777" w:rsidR="0054383D" w:rsidRPr="00EC04CF" w:rsidRDefault="0054383D" w:rsidP="004D3687">
            <w:pPr>
              <w:rPr>
                <w:b/>
                <w:bCs/>
                <w:sz w:val="16"/>
                <w:szCs w:val="16"/>
              </w:rPr>
            </w:pPr>
          </w:p>
        </w:tc>
      </w:tr>
      <w:tr w:rsidR="0054383D" w:rsidRPr="00EC04CF" w14:paraId="6C0F62F6" w14:textId="77777777" w:rsidTr="004D3687">
        <w:trPr>
          <w:trHeight w:val="561"/>
        </w:trPr>
        <w:tc>
          <w:tcPr>
            <w:tcW w:w="2423" w:type="dxa"/>
            <w:gridSpan w:val="2"/>
            <w:tcBorders>
              <w:top w:val="nil"/>
              <w:left w:val="nil"/>
              <w:bottom w:val="nil"/>
              <w:right w:val="nil"/>
            </w:tcBorders>
            <w:vAlign w:val="bottom"/>
          </w:tcPr>
          <w:p w14:paraId="5E3576E8" w14:textId="77777777" w:rsidR="0054383D" w:rsidRPr="00EC04CF" w:rsidRDefault="0054383D" w:rsidP="004D3687">
            <w:pPr>
              <w:rPr>
                <w:b/>
                <w:bCs/>
              </w:rPr>
            </w:pPr>
            <w:r w:rsidRPr="00EC04CF">
              <w:rPr>
                <w:b/>
                <w:bCs/>
              </w:rPr>
              <w:t>Semester</w:t>
            </w:r>
          </w:p>
        </w:tc>
        <w:tc>
          <w:tcPr>
            <w:tcW w:w="5885" w:type="dxa"/>
            <w:gridSpan w:val="3"/>
            <w:tcBorders>
              <w:top w:val="dotted" w:sz="4" w:space="0" w:color="auto"/>
              <w:left w:val="nil"/>
              <w:bottom w:val="dotted" w:sz="4" w:space="0" w:color="auto"/>
              <w:right w:val="nil"/>
            </w:tcBorders>
            <w:vAlign w:val="bottom"/>
          </w:tcPr>
          <w:p w14:paraId="441F9705" w14:textId="4C1B0F19" w:rsidR="0054383D" w:rsidRPr="00EC04CF" w:rsidRDefault="000E71D5" w:rsidP="000E71D5">
            <w:pPr>
              <w:rPr>
                <w:b/>
                <w:bCs/>
              </w:rPr>
            </w:pPr>
            <w:r>
              <w:rPr>
                <w:b/>
                <w:bCs/>
              </w:rPr>
              <w:t>Spring,</w:t>
            </w:r>
            <w:r w:rsidR="009C22EE">
              <w:rPr>
                <w:b/>
                <w:bCs/>
              </w:rPr>
              <w:t xml:space="preserve"> 20</w:t>
            </w:r>
            <w:r w:rsidR="001F7F54">
              <w:rPr>
                <w:b/>
                <w:bCs/>
              </w:rPr>
              <w:t>19</w:t>
            </w:r>
            <w:r>
              <w:rPr>
                <w:b/>
                <w:bCs/>
              </w:rPr>
              <w:t>-</w:t>
            </w:r>
            <w:r w:rsidR="009C22EE">
              <w:rPr>
                <w:b/>
                <w:bCs/>
              </w:rPr>
              <w:t>2020</w:t>
            </w:r>
            <w:r w:rsidR="00C4028B">
              <w:rPr>
                <w:b/>
                <w:bCs/>
              </w:rPr>
              <w:t xml:space="preserve"> </w:t>
            </w:r>
          </w:p>
        </w:tc>
        <w:tc>
          <w:tcPr>
            <w:tcW w:w="2965" w:type="dxa"/>
            <w:tcBorders>
              <w:top w:val="nil"/>
              <w:left w:val="nil"/>
              <w:bottom w:val="nil"/>
              <w:right w:val="nil"/>
            </w:tcBorders>
          </w:tcPr>
          <w:p w14:paraId="0AF17482" w14:textId="77777777" w:rsidR="0054383D" w:rsidRPr="00EC04CF" w:rsidRDefault="0054383D" w:rsidP="004D3687">
            <w:pPr>
              <w:ind w:left="372"/>
              <w:rPr>
                <w:b/>
                <w:bCs/>
                <w:sz w:val="28"/>
                <w:szCs w:val="28"/>
              </w:rPr>
            </w:pPr>
          </w:p>
        </w:tc>
      </w:tr>
      <w:tr w:rsidR="0054383D" w:rsidRPr="00EC04CF" w14:paraId="6F4014B5" w14:textId="77777777" w:rsidTr="004D3687">
        <w:trPr>
          <w:trHeight w:val="563"/>
        </w:trPr>
        <w:tc>
          <w:tcPr>
            <w:tcW w:w="2423" w:type="dxa"/>
            <w:gridSpan w:val="2"/>
            <w:tcBorders>
              <w:top w:val="nil"/>
              <w:left w:val="nil"/>
              <w:bottom w:val="nil"/>
              <w:right w:val="nil"/>
            </w:tcBorders>
            <w:vAlign w:val="bottom"/>
          </w:tcPr>
          <w:p w14:paraId="25545900" w14:textId="77777777" w:rsidR="00920CD2" w:rsidRDefault="00920CD2" w:rsidP="004D3687">
            <w:pPr>
              <w:rPr>
                <w:b/>
                <w:bCs/>
              </w:rPr>
            </w:pPr>
          </w:p>
          <w:p w14:paraId="2FE7228D" w14:textId="77777777" w:rsidR="0054383D" w:rsidRPr="00920CD2" w:rsidRDefault="00275EE4" w:rsidP="004D3687">
            <w:pPr>
              <w:rPr>
                <w:b/>
                <w:bCs/>
              </w:rPr>
            </w:pPr>
            <w:r w:rsidRPr="00920CD2">
              <w:rPr>
                <w:b/>
                <w:bCs/>
              </w:rPr>
              <w:t xml:space="preserve">CLOs </w:t>
            </w:r>
            <w:r w:rsidR="00B73A2C" w:rsidRPr="00920CD2">
              <w:rPr>
                <w:b/>
                <w:bCs/>
              </w:rPr>
              <w:t>as per the Syllabus</w:t>
            </w:r>
          </w:p>
        </w:tc>
        <w:tc>
          <w:tcPr>
            <w:tcW w:w="5885" w:type="dxa"/>
            <w:gridSpan w:val="3"/>
            <w:tcBorders>
              <w:top w:val="dotted" w:sz="4" w:space="0" w:color="auto"/>
              <w:left w:val="nil"/>
              <w:bottom w:val="dotted" w:sz="4" w:space="0" w:color="auto"/>
              <w:right w:val="nil"/>
            </w:tcBorders>
            <w:vAlign w:val="bottom"/>
          </w:tcPr>
          <w:p w14:paraId="512554FC" w14:textId="77777777" w:rsidR="00A64448" w:rsidRDefault="00A64448" w:rsidP="00014E6F">
            <w:pPr>
              <w:rPr>
                <w:b/>
                <w:bCs/>
              </w:rPr>
            </w:pPr>
          </w:p>
          <w:p w14:paraId="203A389E" w14:textId="54041032" w:rsidR="0054383D" w:rsidRPr="00EC04CF" w:rsidRDefault="001F6CE9" w:rsidP="001F7F54">
            <w:pPr>
              <w:ind w:left="978" w:hanging="978"/>
              <w:jc w:val="both"/>
              <w:rPr>
                <w:b/>
                <w:bCs/>
              </w:rPr>
            </w:pPr>
            <w:r>
              <w:rPr>
                <w:b/>
                <w:bCs/>
              </w:rPr>
              <w:t xml:space="preserve">  CLO</w:t>
            </w:r>
            <w:r w:rsidR="008A25A0">
              <w:rPr>
                <w:b/>
                <w:bCs/>
              </w:rPr>
              <w:t>6</w:t>
            </w:r>
            <w:r>
              <w:rPr>
                <w:b/>
                <w:bCs/>
              </w:rPr>
              <w:t>:</w:t>
            </w:r>
            <w:r w:rsidR="001F7F54">
              <w:rPr>
                <w:b/>
                <w:bCs/>
              </w:rPr>
              <w:t xml:space="preserve"> </w:t>
            </w:r>
            <w:r w:rsidR="001F7F54" w:rsidRPr="004F40E9">
              <w:t xml:space="preserve">Evaluate </w:t>
            </w:r>
            <w:bookmarkStart w:id="1" w:name="_Hlk38198283"/>
            <w:r w:rsidR="001F7F54" w:rsidRPr="004F40E9">
              <w:t>the advantages and disadvantages of long-term capital market for rising corporate finance</w:t>
            </w:r>
            <w:bookmarkEnd w:id="1"/>
            <w:r w:rsidR="001F7F54">
              <w:t>.</w:t>
            </w:r>
            <w:r w:rsidR="001F7F54" w:rsidRPr="004F40E9">
              <w:t xml:space="preserve"> </w:t>
            </w:r>
            <w:r w:rsidRPr="004F40E9">
              <w:t xml:space="preserve"> </w:t>
            </w:r>
          </w:p>
        </w:tc>
        <w:tc>
          <w:tcPr>
            <w:tcW w:w="2965" w:type="dxa"/>
            <w:tcBorders>
              <w:top w:val="nil"/>
              <w:left w:val="nil"/>
              <w:bottom w:val="nil"/>
              <w:right w:val="nil"/>
            </w:tcBorders>
          </w:tcPr>
          <w:p w14:paraId="749ABC8B" w14:textId="77777777" w:rsidR="0054383D" w:rsidRPr="00EC04CF" w:rsidRDefault="0054383D" w:rsidP="004D3687">
            <w:pPr>
              <w:ind w:left="372"/>
              <w:rPr>
                <w:b/>
                <w:bCs/>
                <w:sz w:val="28"/>
                <w:szCs w:val="28"/>
              </w:rPr>
            </w:pPr>
          </w:p>
        </w:tc>
      </w:tr>
      <w:tr w:rsidR="0054383D" w:rsidRPr="00EC04CF" w14:paraId="6A70C500" w14:textId="77777777" w:rsidTr="004D3687">
        <w:tc>
          <w:tcPr>
            <w:tcW w:w="2423" w:type="dxa"/>
            <w:gridSpan w:val="2"/>
            <w:tcBorders>
              <w:top w:val="nil"/>
              <w:left w:val="nil"/>
              <w:bottom w:val="nil"/>
              <w:right w:val="nil"/>
            </w:tcBorders>
            <w:vAlign w:val="bottom"/>
          </w:tcPr>
          <w:p w14:paraId="08675978" w14:textId="77777777" w:rsidR="0054383D" w:rsidRPr="00920CD2" w:rsidRDefault="0054383D" w:rsidP="004D3687">
            <w:pPr>
              <w:rPr>
                <w:b/>
                <w:bCs/>
              </w:rPr>
            </w:pPr>
          </w:p>
        </w:tc>
        <w:tc>
          <w:tcPr>
            <w:tcW w:w="5885" w:type="dxa"/>
            <w:gridSpan w:val="3"/>
            <w:tcBorders>
              <w:top w:val="dotted" w:sz="4" w:space="0" w:color="auto"/>
              <w:left w:val="nil"/>
              <w:bottom w:val="nil"/>
              <w:right w:val="nil"/>
            </w:tcBorders>
            <w:vAlign w:val="bottom"/>
          </w:tcPr>
          <w:p w14:paraId="7FE011DA" w14:textId="79ECF809" w:rsidR="00C4028B" w:rsidRDefault="001F6CE9" w:rsidP="001F7F54">
            <w:pPr>
              <w:ind w:left="837" w:hanging="810"/>
              <w:jc w:val="both"/>
            </w:pPr>
            <w:r>
              <w:rPr>
                <w:b/>
                <w:bCs/>
              </w:rPr>
              <w:t xml:space="preserve">  CLO</w:t>
            </w:r>
            <w:r w:rsidR="001F7F54">
              <w:rPr>
                <w:b/>
                <w:bCs/>
              </w:rPr>
              <w:t>7</w:t>
            </w:r>
            <w:r>
              <w:rPr>
                <w:b/>
                <w:bCs/>
              </w:rPr>
              <w:t>:</w:t>
            </w:r>
            <w:r w:rsidR="001F7F54" w:rsidRPr="001F7F54">
              <w:t xml:space="preserve"> Compare the different types of financial markets securities</w:t>
            </w:r>
            <w:r w:rsidR="001F7F54">
              <w:t>.</w:t>
            </w:r>
            <w:r w:rsidR="001F7F54" w:rsidRPr="001F7F54">
              <w:t xml:space="preserve"> </w:t>
            </w:r>
            <w:r w:rsidRPr="004F40E9">
              <w:t xml:space="preserve"> </w:t>
            </w:r>
          </w:p>
          <w:p w14:paraId="0C49CA26" w14:textId="788635C2" w:rsidR="001F7F54" w:rsidRDefault="001F6CE9" w:rsidP="001F7F54">
            <w:pPr>
              <w:ind w:left="907" w:hanging="907"/>
              <w:jc w:val="both"/>
              <w:rPr>
                <w:b/>
                <w:bCs/>
              </w:rPr>
            </w:pPr>
            <w:r>
              <w:rPr>
                <w:b/>
                <w:bCs/>
              </w:rPr>
              <w:t xml:space="preserve"> </w:t>
            </w:r>
            <w:r w:rsidRPr="00E0471B">
              <w:rPr>
                <w:b/>
                <w:bCs/>
              </w:rPr>
              <w:t xml:space="preserve"> CLO</w:t>
            </w:r>
            <w:r w:rsidR="001F7F54">
              <w:rPr>
                <w:b/>
                <w:bCs/>
              </w:rPr>
              <w:t>8</w:t>
            </w:r>
            <w:r>
              <w:t>:</w:t>
            </w:r>
            <w:r w:rsidR="001F7F54">
              <w:t xml:space="preserve"> Select</w:t>
            </w:r>
            <w:r w:rsidR="001F7F54">
              <w:rPr>
                <w:b/>
                <w:bCs/>
              </w:rPr>
              <w:t xml:space="preserve"> </w:t>
            </w:r>
            <w:bookmarkStart w:id="2" w:name="_Hlk38199327"/>
            <w:r w:rsidR="001F7F54" w:rsidRPr="004F40E9">
              <w:t>appropriate hedging strategies using future markets for reducing financial risk and evaluate the performance of different types of derivatives</w:t>
            </w:r>
            <w:bookmarkEnd w:id="2"/>
          </w:p>
          <w:p w14:paraId="5219E06A" w14:textId="771828EC" w:rsidR="001F7F54" w:rsidRPr="00EC04CF" w:rsidRDefault="001F7F54" w:rsidP="001F7F54">
            <w:pPr>
              <w:ind w:left="907" w:hanging="907"/>
              <w:jc w:val="both"/>
              <w:rPr>
                <w:b/>
                <w:bCs/>
              </w:rPr>
            </w:pPr>
            <w:r>
              <w:rPr>
                <w:b/>
                <w:bCs/>
              </w:rPr>
              <w:t xml:space="preserve">  </w:t>
            </w:r>
            <w:r w:rsidRPr="00E0471B">
              <w:rPr>
                <w:b/>
                <w:bCs/>
              </w:rPr>
              <w:t>CLO</w:t>
            </w:r>
            <w:r>
              <w:rPr>
                <w:b/>
                <w:bCs/>
              </w:rPr>
              <w:t>9</w:t>
            </w:r>
            <w:r>
              <w:t>: Evaluate</w:t>
            </w:r>
            <w:r w:rsidRPr="004F40E9">
              <w:t xml:space="preserve"> </w:t>
            </w:r>
            <w:bookmarkStart w:id="3" w:name="_Hlk38198049"/>
            <w:r w:rsidRPr="004F40E9">
              <w:t>the performance of financial institutions currently working in the market</w:t>
            </w:r>
            <w:bookmarkEnd w:id="3"/>
            <w:r>
              <w:t>.</w:t>
            </w:r>
            <w:r w:rsidRPr="004F40E9">
              <w:t xml:space="preserve"> </w:t>
            </w:r>
          </w:p>
        </w:tc>
        <w:tc>
          <w:tcPr>
            <w:tcW w:w="2965" w:type="dxa"/>
            <w:tcBorders>
              <w:top w:val="nil"/>
              <w:left w:val="nil"/>
              <w:bottom w:val="nil"/>
              <w:right w:val="nil"/>
            </w:tcBorders>
          </w:tcPr>
          <w:p w14:paraId="45C3250A" w14:textId="77777777" w:rsidR="0054383D" w:rsidRPr="00EC04CF" w:rsidRDefault="0054383D" w:rsidP="004D3687">
            <w:pPr>
              <w:rPr>
                <w:b/>
                <w:bCs/>
                <w:sz w:val="28"/>
                <w:szCs w:val="28"/>
              </w:rPr>
            </w:pPr>
          </w:p>
        </w:tc>
      </w:tr>
      <w:tr w:rsidR="00101431" w:rsidRPr="00EC04CF" w14:paraId="29BFF988" w14:textId="77777777" w:rsidTr="004D3687">
        <w:tc>
          <w:tcPr>
            <w:tcW w:w="8308" w:type="dxa"/>
            <w:gridSpan w:val="5"/>
            <w:tcBorders>
              <w:top w:val="nil"/>
              <w:left w:val="nil"/>
              <w:bottom w:val="nil"/>
              <w:right w:val="nil"/>
            </w:tcBorders>
            <w:vAlign w:val="bottom"/>
          </w:tcPr>
          <w:p w14:paraId="03427F13" w14:textId="77777777" w:rsidR="00920CD2" w:rsidRDefault="00920CD2" w:rsidP="00B73A2C">
            <w:pPr>
              <w:rPr>
                <w:b/>
                <w:bCs/>
              </w:rPr>
            </w:pPr>
          </w:p>
          <w:p w14:paraId="2911A8DC" w14:textId="77777777" w:rsidR="00B57229" w:rsidRDefault="00B57229" w:rsidP="00B73A2C">
            <w:pPr>
              <w:rPr>
                <w:b/>
                <w:bCs/>
              </w:rPr>
            </w:pPr>
          </w:p>
          <w:p w14:paraId="2587D92A" w14:textId="77777777" w:rsidR="00B57229" w:rsidRDefault="00B57229" w:rsidP="00B73A2C">
            <w:pPr>
              <w:rPr>
                <w:b/>
                <w:bCs/>
              </w:rPr>
            </w:pPr>
          </w:p>
          <w:p w14:paraId="67A2F78C" w14:textId="77777777" w:rsidR="00B57229" w:rsidRDefault="00B57229" w:rsidP="00B73A2C">
            <w:pPr>
              <w:rPr>
                <w:b/>
                <w:bCs/>
              </w:rPr>
            </w:pPr>
          </w:p>
          <w:p w14:paraId="71FFA726" w14:textId="77777777" w:rsidR="00B73A2C" w:rsidRDefault="00B73A2C" w:rsidP="00B73A2C">
            <w:pPr>
              <w:rPr>
                <w:b/>
                <w:bCs/>
              </w:rPr>
            </w:pPr>
          </w:p>
          <w:p w14:paraId="77BC4F38" w14:textId="77777777" w:rsidR="00B73A2C" w:rsidRDefault="00B73A2C" w:rsidP="00B73A2C">
            <w:pPr>
              <w:rPr>
                <w:b/>
                <w:bCs/>
              </w:rPr>
            </w:pPr>
          </w:p>
          <w:p w14:paraId="0E37FF46" w14:textId="77777777" w:rsidR="00920CD2" w:rsidRDefault="00920CD2" w:rsidP="00101431">
            <w:pPr>
              <w:rPr>
                <w:b/>
                <w:bCs/>
              </w:rPr>
            </w:pPr>
          </w:p>
          <w:p w14:paraId="1548D183" w14:textId="77777777" w:rsidR="00B73A2C" w:rsidRPr="00EC04CF" w:rsidRDefault="008A1E48" w:rsidP="00920CD2">
            <w:pPr>
              <w:jc w:val="center"/>
              <w:rPr>
                <w:b/>
                <w:bCs/>
              </w:rPr>
            </w:pPr>
            <w:r>
              <w:rPr>
                <w:b/>
                <w:bCs/>
              </w:rPr>
              <w:t xml:space="preserve">                           </w:t>
            </w:r>
            <w:r w:rsidR="00B73A2C">
              <w:rPr>
                <w:b/>
                <w:bCs/>
              </w:rPr>
              <w:t xml:space="preserve">For details of marking scheme, refer to Rubrics # </w:t>
            </w:r>
            <w:r w:rsidR="00920CD2">
              <w:rPr>
                <w:b/>
                <w:bCs/>
              </w:rPr>
              <w:t>ACA/</w:t>
            </w:r>
            <w:r w:rsidR="00B73A2C">
              <w:rPr>
                <w:b/>
                <w:bCs/>
              </w:rPr>
              <w:t>F11.04</w:t>
            </w:r>
          </w:p>
        </w:tc>
        <w:tc>
          <w:tcPr>
            <w:tcW w:w="2965" w:type="dxa"/>
            <w:tcBorders>
              <w:top w:val="nil"/>
              <w:left w:val="nil"/>
              <w:bottom w:val="nil"/>
              <w:right w:val="nil"/>
            </w:tcBorders>
          </w:tcPr>
          <w:p w14:paraId="259A4118" w14:textId="77777777" w:rsidR="00101431" w:rsidRPr="00EC04CF" w:rsidRDefault="00101431" w:rsidP="00101431">
            <w:pPr>
              <w:rPr>
                <w:b/>
                <w:bCs/>
                <w:sz w:val="28"/>
                <w:szCs w:val="28"/>
              </w:rPr>
            </w:pPr>
          </w:p>
        </w:tc>
      </w:tr>
      <w:tr w:rsidR="00101431" w:rsidRPr="00EC04CF" w14:paraId="704E25C7" w14:textId="77777777" w:rsidTr="004D3687">
        <w:trPr>
          <w:gridAfter w:val="3"/>
          <w:wAfter w:w="8496" w:type="dxa"/>
          <w:trHeight w:val="571"/>
        </w:trPr>
        <w:tc>
          <w:tcPr>
            <w:tcW w:w="1506" w:type="dxa"/>
            <w:tcBorders>
              <w:top w:val="nil"/>
              <w:left w:val="nil"/>
              <w:bottom w:val="nil"/>
              <w:right w:val="nil"/>
            </w:tcBorders>
            <w:vAlign w:val="bottom"/>
          </w:tcPr>
          <w:p w14:paraId="44D498A5" w14:textId="77777777" w:rsidR="00101431" w:rsidRPr="00EC04CF" w:rsidRDefault="00101431" w:rsidP="00101431">
            <w:pPr>
              <w:rPr>
                <w:b/>
                <w:bCs/>
              </w:rPr>
            </w:pPr>
          </w:p>
        </w:tc>
        <w:tc>
          <w:tcPr>
            <w:tcW w:w="1271" w:type="dxa"/>
            <w:gridSpan w:val="2"/>
            <w:tcBorders>
              <w:top w:val="nil"/>
              <w:left w:val="nil"/>
              <w:bottom w:val="nil"/>
              <w:right w:val="nil"/>
            </w:tcBorders>
          </w:tcPr>
          <w:p w14:paraId="2AF0BB4C" w14:textId="77777777" w:rsidR="00101431" w:rsidRPr="00EC04CF" w:rsidRDefault="00101431" w:rsidP="00101431">
            <w:pPr>
              <w:rPr>
                <w:b/>
                <w:bCs/>
              </w:rPr>
            </w:pPr>
          </w:p>
        </w:tc>
      </w:tr>
      <w:tr w:rsidR="00275EE4" w:rsidRPr="00EC04CF" w14:paraId="7BB1EFAB" w14:textId="77777777" w:rsidTr="004D3687">
        <w:trPr>
          <w:gridAfter w:val="3"/>
          <w:wAfter w:w="8496" w:type="dxa"/>
          <w:trHeight w:val="571"/>
        </w:trPr>
        <w:tc>
          <w:tcPr>
            <w:tcW w:w="1506" w:type="dxa"/>
            <w:tcBorders>
              <w:top w:val="nil"/>
              <w:left w:val="nil"/>
              <w:bottom w:val="nil"/>
              <w:right w:val="nil"/>
            </w:tcBorders>
            <w:vAlign w:val="bottom"/>
          </w:tcPr>
          <w:p w14:paraId="010C34F7" w14:textId="77777777" w:rsidR="00275EE4" w:rsidRPr="00EC04CF" w:rsidRDefault="00275EE4" w:rsidP="00BE44B1">
            <w:pPr>
              <w:rPr>
                <w:b/>
                <w:bCs/>
              </w:rPr>
            </w:pPr>
          </w:p>
        </w:tc>
        <w:tc>
          <w:tcPr>
            <w:tcW w:w="1271" w:type="dxa"/>
            <w:gridSpan w:val="2"/>
            <w:tcBorders>
              <w:top w:val="nil"/>
              <w:left w:val="nil"/>
              <w:bottom w:val="nil"/>
              <w:right w:val="nil"/>
            </w:tcBorders>
          </w:tcPr>
          <w:p w14:paraId="4C5889F9" w14:textId="77777777" w:rsidR="00275EE4" w:rsidRPr="00EC04CF" w:rsidRDefault="00275EE4" w:rsidP="00101431">
            <w:pPr>
              <w:rPr>
                <w:b/>
                <w:bCs/>
              </w:rPr>
            </w:pPr>
          </w:p>
        </w:tc>
      </w:tr>
      <w:tr w:rsidR="00275EE4" w:rsidRPr="00EC04CF" w14:paraId="07D12273" w14:textId="77777777" w:rsidTr="00101431">
        <w:trPr>
          <w:gridAfter w:val="3"/>
          <w:wAfter w:w="8496" w:type="dxa"/>
          <w:trHeight w:val="80"/>
        </w:trPr>
        <w:tc>
          <w:tcPr>
            <w:tcW w:w="1506" w:type="dxa"/>
            <w:tcBorders>
              <w:top w:val="nil"/>
              <w:left w:val="nil"/>
              <w:bottom w:val="nil"/>
              <w:right w:val="nil"/>
            </w:tcBorders>
            <w:vAlign w:val="bottom"/>
          </w:tcPr>
          <w:p w14:paraId="74447319" w14:textId="77777777" w:rsidR="00275EE4" w:rsidRPr="00EC04CF" w:rsidRDefault="00275EE4" w:rsidP="00BE44B1">
            <w:pPr>
              <w:rPr>
                <w:b/>
                <w:bCs/>
              </w:rPr>
            </w:pPr>
          </w:p>
        </w:tc>
        <w:tc>
          <w:tcPr>
            <w:tcW w:w="1271" w:type="dxa"/>
            <w:gridSpan w:val="2"/>
            <w:tcBorders>
              <w:top w:val="nil"/>
              <w:left w:val="nil"/>
              <w:bottom w:val="nil"/>
              <w:right w:val="nil"/>
            </w:tcBorders>
          </w:tcPr>
          <w:p w14:paraId="01006937" w14:textId="77777777" w:rsidR="00275EE4" w:rsidRPr="00EC04CF" w:rsidRDefault="00275EE4" w:rsidP="00101431">
            <w:pPr>
              <w:rPr>
                <w:b/>
                <w:bCs/>
              </w:rPr>
            </w:pPr>
          </w:p>
        </w:tc>
      </w:tr>
      <w:tr w:rsidR="00275EE4" w:rsidRPr="00EC04CF" w14:paraId="66A87096" w14:textId="77777777" w:rsidTr="00101431">
        <w:trPr>
          <w:gridAfter w:val="3"/>
          <w:wAfter w:w="8496" w:type="dxa"/>
          <w:trHeight w:val="80"/>
        </w:trPr>
        <w:tc>
          <w:tcPr>
            <w:tcW w:w="1506" w:type="dxa"/>
            <w:tcBorders>
              <w:top w:val="nil"/>
              <w:left w:val="nil"/>
              <w:bottom w:val="nil"/>
              <w:right w:val="nil"/>
            </w:tcBorders>
            <w:vAlign w:val="bottom"/>
          </w:tcPr>
          <w:p w14:paraId="7D23437B" w14:textId="77777777" w:rsidR="00275EE4" w:rsidRPr="00EC04CF" w:rsidRDefault="00275EE4" w:rsidP="00BE44B1">
            <w:pPr>
              <w:rPr>
                <w:b/>
                <w:bCs/>
              </w:rPr>
            </w:pPr>
          </w:p>
        </w:tc>
        <w:tc>
          <w:tcPr>
            <w:tcW w:w="1271" w:type="dxa"/>
            <w:gridSpan w:val="2"/>
            <w:tcBorders>
              <w:top w:val="nil"/>
              <w:left w:val="nil"/>
              <w:bottom w:val="nil"/>
              <w:right w:val="nil"/>
            </w:tcBorders>
          </w:tcPr>
          <w:p w14:paraId="4CE0C9BF" w14:textId="77777777" w:rsidR="00275EE4" w:rsidRPr="00EC04CF" w:rsidRDefault="00275EE4" w:rsidP="00101431">
            <w:pPr>
              <w:rPr>
                <w:b/>
                <w:bCs/>
              </w:rPr>
            </w:pPr>
          </w:p>
        </w:tc>
      </w:tr>
    </w:tbl>
    <w:p w14:paraId="66F42047" w14:textId="77777777" w:rsidR="0054383D" w:rsidRPr="00864356" w:rsidRDefault="0054383D" w:rsidP="0054383D">
      <w:pPr>
        <w:ind w:firstLine="360"/>
        <w:rPr>
          <w:b/>
          <w:bCs/>
        </w:rPr>
      </w:pPr>
      <w:r w:rsidRPr="00864356">
        <w:rPr>
          <w:b/>
          <w:bCs/>
          <w:sz w:val="28"/>
          <w:szCs w:val="28"/>
        </w:rPr>
        <w:tab/>
      </w:r>
      <w:r w:rsidRPr="00864356">
        <w:rPr>
          <w:b/>
          <w:bCs/>
          <w:sz w:val="28"/>
          <w:szCs w:val="28"/>
        </w:rPr>
        <w:tab/>
      </w:r>
      <w:r w:rsidRPr="00864356">
        <w:rPr>
          <w:b/>
          <w:bCs/>
          <w:sz w:val="28"/>
          <w:szCs w:val="28"/>
        </w:rPr>
        <w:tab/>
      </w:r>
      <w:r w:rsidRPr="00864356">
        <w:rPr>
          <w:b/>
          <w:bCs/>
          <w:sz w:val="28"/>
          <w:szCs w:val="28"/>
        </w:rPr>
        <w:tab/>
      </w:r>
    </w:p>
    <w:p w14:paraId="3E873250" w14:textId="77777777" w:rsidR="0054383D" w:rsidRDefault="0054383D" w:rsidP="0054383D">
      <w:pPr>
        <w:rPr>
          <w:b/>
          <w:bCs/>
        </w:rPr>
      </w:pPr>
    </w:p>
    <w:p w14:paraId="63A1FDD4" w14:textId="77777777" w:rsidR="00275EE4" w:rsidRDefault="00275EE4" w:rsidP="00275EE4">
      <w:pPr>
        <w:jc w:val="center"/>
        <w:rPr>
          <w:b/>
          <w:bCs/>
        </w:rPr>
      </w:pPr>
    </w:p>
    <w:p w14:paraId="589394E4" w14:textId="77777777" w:rsidR="00275EE4" w:rsidRDefault="00275EE4" w:rsidP="00275EE4">
      <w:pPr>
        <w:jc w:val="center"/>
        <w:rPr>
          <w:b/>
          <w:bCs/>
        </w:rPr>
      </w:pPr>
    </w:p>
    <w:p w14:paraId="30C3D7BB" w14:textId="1DDD7D53" w:rsidR="0054383D" w:rsidRDefault="0054383D" w:rsidP="00C4028B">
      <w:pPr>
        <w:jc w:val="center"/>
        <w:rPr>
          <w:b/>
          <w:bCs/>
        </w:rPr>
      </w:pPr>
      <w:r>
        <w:rPr>
          <w:b/>
          <w:bCs/>
        </w:rPr>
        <w:t>N</w:t>
      </w:r>
      <w:r w:rsidR="00F3553E">
        <w:rPr>
          <w:b/>
          <w:bCs/>
        </w:rPr>
        <w:t xml:space="preserve">ote: This Project accounts for </w:t>
      </w:r>
      <w:r w:rsidR="00D974F4">
        <w:rPr>
          <w:b/>
          <w:bCs/>
        </w:rPr>
        <w:t>40</w:t>
      </w:r>
      <w:r w:rsidRPr="00843BDD">
        <w:rPr>
          <w:b/>
          <w:bCs/>
        </w:rPr>
        <w:t xml:space="preserve">% of the </w:t>
      </w:r>
      <w:r>
        <w:rPr>
          <w:b/>
          <w:bCs/>
        </w:rPr>
        <w:t>S</w:t>
      </w:r>
      <w:r w:rsidRPr="00843BDD">
        <w:rPr>
          <w:b/>
          <w:bCs/>
        </w:rPr>
        <w:t>tudent Final Grade.</w:t>
      </w:r>
    </w:p>
    <w:p w14:paraId="491CD145" w14:textId="77777777" w:rsidR="00A27932" w:rsidRPr="00A27932" w:rsidRDefault="00A27932" w:rsidP="00A27932">
      <w:pPr>
        <w:widowControl w:val="0"/>
        <w:autoSpaceDE w:val="0"/>
        <w:autoSpaceDN w:val="0"/>
        <w:adjustRightInd w:val="0"/>
        <w:spacing w:line="360" w:lineRule="auto"/>
        <w:jc w:val="both"/>
        <w:rPr>
          <w:b/>
        </w:rPr>
      </w:pPr>
      <w:r w:rsidRPr="00A27932">
        <w:rPr>
          <w:b/>
        </w:rPr>
        <w:lastRenderedPageBreak/>
        <w:t>Introduction</w:t>
      </w:r>
    </w:p>
    <w:p w14:paraId="71952086" w14:textId="77777777" w:rsidR="00A27932" w:rsidRPr="00A27932" w:rsidRDefault="00A27932" w:rsidP="00A27932">
      <w:pPr>
        <w:widowControl w:val="0"/>
        <w:autoSpaceDE w:val="0"/>
        <w:autoSpaceDN w:val="0"/>
        <w:adjustRightInd w:val="0"/>
        <w:spacing w:line="360" w:lineRule="auto"/>
        <w:jc w:val="both"/>
      </w:pPr>
      <w:r w:rsidRPr="00A27932">
        <w:t>In the UAE there are two main financial securities exchange markets and they both operate under the body which is independent so that their role can be easily be monitored. These two main companies include the Abu Dhabi Securities Exchange and Dubai Financial Market. Before Abu Dhabi Stock Exchange Company was renamed to its current name, it used to be Abu Dhabi securities Market and was formed back in year 2000 in the month of November. The company was formed under the Local law number (3). The main work was to ensure that it traded the shares of the UAE companies. Abu Dhabi Company is located in United Emirates and has several trading locations such as the Fujairah, Sharjah, Abu Dhabi and Ras Al Khaimah. ADX has more than 70 listed companies. Apart from selling the shares, the Abu Dhabi Securities Exchange also trades the debt instruments and the shares issued by the joint stock companies. The securities and Commodities Authority oversee both the Abu Dhabi Securities Exchange and Dubai Financial Market (</w:t>
      </w:r>
      <w:r w:rsidRPr="00A27932">
        <w:rPr>
          <w:color w:val="222222"/>
          <w:shd w:val="clear" w:color="auto" w:fill="FFFFFF"/>
        </w:rPr>
        <w:t>AlDarmaki, AlMansouri, Ahmed , Mohamed, and Zaki, 2016, pp. 1-7)</w:t>
      </w:r>
      <w:r w:rsidRPr="00A27932">
        <w:t>. This means that the securities and commodities authority is an independent body. Dubai Financial market was formed before the Abu Dhabi exchange company in the month of March 26 also in year 2000. The company is located in Dubai and Essa Kazim is the current chairperson of the company. More than 67 companies have been listed with Dubai Financial Exchange. The government owned the Dubai Financial Market fully from year 2000 to 2006 whereby it decided to turn it into a joint – stock company and this led to a sale of part of the shares worth 20% to the public (</w:t>
      </w:r>
      <w:r w:rsidRPr="00A27932">
        <w:rPr>
          <w:color w:val="222222"/>
          <w:shd w:val="clear" w:color="auto" w:fill="FFFFFF"/>
        </w:rPr>
        <w:t xml:space="preserve">Al Janabi, M.A., 2019 </w:t>
      </w:r>
      <w:r w:rsidRPr="00A27932">
        <w:rPr>
          <w:i/>
          <w:iCs/>
          <w:color w:val="222222"/>
          <w:shd w:val="clear" w:color="auto" w:fill="FFFFFF"/>
        </w:rPr>
        <w:t>Dubai financial markets, trading of securities, and investment decision-making</w:t>
      </w:r>
      <w:r w:rsidRPr="00A27932">
        <w:rPr>
          <w:color w:val="222222"/>
          <w:shd w:val="clear" w:color="auto" w:fill="FFFFFF"/>
        </w:rPr>
        <w:t>)</w:t>
      </w:r>
      <w:r w:rsidRPr="00A27932">
        <w:t>. The remaining 80%, the Dubai government made the Borse Dubai subscribe to them, as the government also owns it. This research paper will analyze the Abu Dhabi securities exchange market and Dubai Financial market.</w:t>
      </w:r>
    </w:p>
    <w:p w14:paraId="010DBA6E" w14:textId="77777777" w:rsidR="00A27932" w:rsidRPr="00A27932" w:rsidRDefault="00A27932" w:rsidP="00A27932">
      <w:pPr>
        <w:widowControl w:val="0"/>
        <w:autoSpaceDE w:val="0"/>
        <w:autoSpaceDN w:val="0"/>
        <w:adjustRightInd w:val="0"/>
        <w:spacing w:line="360" w:lineRule="auto"/>
        <w:jc w:val="both"/>
        <w:rPr>
          <w:b/>
        </w:rPr>
      </w:pPr>
      <w:r w:rsidRPr="00A27932">
        <w:rPr>
          <w:b/>
        </w:rPr>
        <w:t>Problem statement</w:t>
      </w:r>
    </w:p>
    <w:p w14:paraId="06B5CA48" w14:textId="77777777" w:rsidR="00A27932" w:rsidRPr="00A27932" w:rsidRDefault="00A27932" w:rsidP="00A27932">
      <w:pPr>
        <w:widowControl w:val="0"/>
        <w:autoSpaceDE w:val="0"/>
        <w:autoSpaceDN w:val="0"/>
        <w:adjustRightInd w:val="0"/>
        <w:spacing w:line="360" w:lineRule="auto"/>
        <w:jc w:val="both"/>
      </w:pPr>
      <w:r w:rsidRPr="00A27932">
        <w:t>Abu Dhabi Securities Exchange has been doing well as opposed to the Dubai Financial market</w:t>
      </w:r>
    </w:p>
    <w:p w14:paraId="071DE81B" w14:textId="77777777" w:rsidR="00A27932" w:rsidRPr="00A27932" w:rsidRDefault="00A27932" w:rsidP="00A27932">
      <w:pPr>
        <w:widowControl w:val="0"/>
        <w:autoSpaceDE w:val="0"/>
        <w:autoSpaceDN w:val="0"/>
        <w:adjustRightInd w:val="0"/>
        <w:spacing w:line="360" w:lineRule="auto"/>
        <w:jc w:val="both"/>
      </w:pPr>
    </w:p>
    <w:p w14:paraId="215DF86A" w14:textId="77777777" w:rsidR="00A27932" w:rsidRPr="00A27932" w:rsidRDefault="00A27932" w:rsidP="00A27932">
      <w:pPr>
        <w:widowControl w:val="0"/>
        <w:autoSpaceDE w:val="0"/>
        <w:autoSpaceDN w:val="0"/>
        <w:adjustRightInd w:val="0"/>
        <w:spacing w:line="360" w:lineRule="auto"/>
        <w:jc w:val="both"/>
        <w:rPr>
          <w:b/>
        </w:rPr>
      </w:pPr>
      <w:r w:rsidRPr="00A27932">
        <w:rPr>
          <w:b/>
        </w:rPr>
        <w:t>Context</w:t>
      </w:r>
    </w:p>
    <w:p w14:paraId="2D0FB6DD" w14:textId="77777777" w:rsidR="00A27932" w:rsidRPr="00A27932" w:rsidRDefault="00A27932" w:rsidP="00A27932">
      <w:pPr>
        <w:widowControl w:val="0"/>
        <w:autoSpaceDE w:val="0"/>
        <w:autoSpaceDN w:val="0"/>
        <w:adjustRightInd w:val="0"/>
        <w:spacing w:line="360" w:lineRule="auto"/>
        <w:jc w:val="both"/>
      </w:pPr>
      <w:r w:rsidRPr="00A27932">
        <w:t xml:space="preserve">From an interview between 40 randomly chosen active investors 20 from the DFM and the other 20 from the ADX, several questions were presented to them in form of a questionnaire in order to get first hard information from them. We were able to get it from them that it is true DFM  has been ragging behind and not only because of the less investment it has been having in terms of selling of it shares but also because of managerial problem something which is common with most </w:t>
      </w:r>
      <w:r w:rsidRPr="00A27932">
        <w:lastRenderedPageBreak/>
        <w:t>of the government owned companies. For instances the people interviewed gave some brief history of the progressing fall of the DFM form 2006 up to 2017 as far as they can trace what has been transpiring in the company.  They suggested that DFM net profit has been dropping since 2007 from 464million to 346million in 2009.  Recently in 2017, the decline went further and it is now in 233.5 million.  ADX on the other hand has been performing pretty well.  From the question the ADX rating were higher because unlike the DFM, it was offering accuracy in transactions and hence minimal loses (</w:t>
      </w:r>
      <w:r w:rsidRPr="00A27932">
        <w:rPr>
          <w:color w:val="222222"/>
          <w:shd w:val="clear" w:color="auto" w:fill="FFFFFF"/>
        </w:rPr>
        <w:t xml:space="preserve">Elsokkary, Khan, La Torre, Humble, T.S. and Gottlieb, no date,2017, </w:t>
      </w:r>
      <w:r w:rsidRPr="00A27932">
        <w:rPr>
          <w:i/>
          <w:iCs/>
          <w:color w:val="222222"/>
          <w:shd w:val="clear" w:color="auto" w:fill="FFFFFF"/>
        </w:rPr>
        <w:t>The Case of Abu Dhabi  Securities Exchange</w:t>
      </w:r>
      <w:r w:rsidRPr="00A27932">
        <w:rPr>
          <w:color w:val="222222"/>
          <w:shd w:val="clear" w:color="auto" w:fill="FFFFFF"/>
        </w:rPr>
        <w:t>)</w:t>
      </w:r>
      <w:r w:rsidRPr="00A27932">
        <w:t>. ADX aims at benefiting at the national economy and as such it; investors had much hope in it and therefore the leading performance. Studies were conducted before implementing any decision in ADX, one of the person who filled out the questionnaire added that as an additional comment and this helped us in establishing why they were leading against their competitor.</w:t>
      </w:r>
    </w:p>
    <w:p w14:paraId="4EE70EE5" w14:textId="77777777" w:rsidR="00A27932" w:rsidRPr="00A27932" w:rsidRDefault="00A27932" w:rsidP="00A27932">
      <w:pPr>
        <w:widowControl w:val="0"/>
        <w:autoSpaceDE w:val="0"/>
        <w:autoSpaceDN w:val="0"/>
        <w:adjustRightInd w:val="0"/>
        <w:spacing w:line="360" w:lineRule="auto"/>
        <w:jc w:val="both"/>
      </w:pPr>
    </w:p>
    <w:p w14:paraId="113337C8" w14:textId="77777777" w:rsidR="00A27932" w:rsidRPr="00A27932" w:rsidRDefault="00A27932" w:rsidP="00A27932">
      <w:pPr>
        <w:widowControl w:val="0"/>
        <w:autoSpaceDE w:val="0"/>
        <w:autoSpaceDN w:val="0"/>
        <w:adjustRightInd w:val="0"/>
        <w:spacing w:line="360" w:lineRule="auto"/>
        <w:jc w:val="both"/>
      </w:pPr>
    </w:p>
    <w:p w14:paraId="74EFA182" w14:textId="77777777" w:rsidR="00A27932" w:rsidRPr="00A27932" w:rsidRDefault="00A27932" w:rsidP="00A27932">
      <w:pPr>
        <w:widowControl w:val="0"/>
        <w:autoSpaceDE w:val="0"/>
        <w:autoSpaceDN w:val="0"/>
        <w:adjustRightInd w:val="0"/>
        <w:spacing w:line="360" w:lineRule="auto"/>
        <w:jc w:val="both"/>
        <w:rPr>
          <w:b/>
        </w:rPr>
      </w:pPr>
      <w:r w:rsidRPr="00A27932">
        <w:rPr>
          <w:b/>
        </w:rPr>
        <w:t xml:space="preserve">Research questions </w:t>
      </w:r>
    </w:p>
    <w:p w14:paraId="2813FEBA" w14:textId="77777777" w:rsidR="00A27932" w:rsidRPr="00A27932" w:rsidRDefault="00A27932" w:rsidP="00A27932">
      <w:pPr>
        <w:widowControl w:val="0"/>
        <w:autoSpaceDE w:val="0"/>
        <w:autoSpaceDN w:val="0"/>
        <w:adjustRightInd w:val="0"/>
        <w:spacing w:line="360" w:lineRule="auto"/>
        <w:jc w:val="both"/>
      </w:pPr>
      <w:r w:rsidRPr="00A27932">
        <w:t>The way a company is being managed and how it investment are being done will either count to it success or to it failure. As it is known, no company can exist in the market with an aim of making losses and the least it can perform should just be to maintain itself in the market. It is with this reason there is the need to effectively align the companies mission and vision to work together to achieve the goal of the company. The following questions were used to conduct the research.</w:t>
      </w:r>
    </w:p>
    <w:p w14:paraId="221FDAD9" w14:textId="77777777" w:rsidR="00A27932" w:rsidRPr="00A27932" w:rsidRDefault="00A27932" w:rsidP="00A27932">
      <w:pPr>
        <w:widowControl w:val="0"/>
        <w:numPr>
          <w:ilvl w:val="0"/>
          <w:numId w:val="27"/>
        </w:numPr>
        <w:autoSpaceDE w:val="0"/>
        <w:autoSpaceDN w:val="0"/>
        <w:adjustRightInd w:val="0"/>
        <w:spacing w:line="360" w:lineRule="auto"/>
        <w:contextualSpacing/>
        <w:jc w:val="both"/>
      </w:pPr>
      <w:r w:rsidRPr="00A27932">
        <w:t>What are the different types of the financial markets in the UAE</w:t>
      </w:r>
    </w:p>
    <w:p w14:paraId="3B1B6FEE" w14:textId="77777777" w:rsidR="00A27932" w:rsidRPr="00A27932" w:rsidRDefault="00A27932" w:rsidP="00A27932">
      <w:pPr>
        <w:widowControl w:val="0"/>
        <w:numPr>
          <w:ilvl w:val="0"/>
          <w:numId w:val="27"/>
        </w:numPr>
        <w:autoSpaceDE w:val="0"/>
        <w:autoSpaceDN w:val="0"/>
        <w:adjustRightInd w:val="0"/>
        <w:spacing w:line="360" w:lineRule="auto"/>
        <w:contextualSpacing/>
        <w:jc w:val="both"/>
      </w:pPr>
      <w:r w:rsidRPr="00A27932">
        <w:t>How is ADX managing to make profit in the market?</w:t>
      </w:r>
    </w:p>
    <w:p w14:paraId="26A1C0AC" w14:textId="77777777" w:rsidR="00A27932" w:rsidRPr="00A27932" w:rsidRDefault="00A27932" w:rsidP="00A27932">
      <w:pPr>
        <w:widowControl w:val="0"/>
        <w:numPr>
          <w:ilvl w:val="0"/>
          <w:numId w:val="27"/>
        </w:numPr>
        <w:autoSpaceDE w:val="0"/>
        <w:autoSpaceDN w:val="0"/>
        <w:adjustRightInd w:val="0"/>
        <w:spacing w:line="360" w:lineRule="auto"/>
        <w:contextualSpacing/>
        <w:jc w:val="both"/>
      </w:pPr>
      <w:r w:rsidRPr="00A27932">
        <w:t xml:space="preserve">Analyzing Abu Dhabi Islamic Bank as one of the listed company under ADX to see how it has been performing </w:t>
      </w:r>
    </w:p>
    <w:p w14:paraId="26695DB4" w14:textId="77777777" w:rsidR="00A27932" w:rsidRPr="00A27932" w:rsidRDefault="00A27932" w:rsidP="00A27932">
      <w:pPr>
        <w:widowControl w:val="0"/>
        <w:autoSpaceDE w:val="0"/>
        <w:autoSpaceDN w:val="0"/>
        <w:adjustRightInd w:val="0"/>
        <w:spacing w:line="360" w:lineRule="auto"/>
        <w:jc w:val="both"/>
      </w:pPr>
    </w:p>
    <w:p w14:paraId="333C865A" w14:textId="77777777" w:rsidR="00A27932" w:rsidRPr="00A27932" w:rsidRDefault="00A27932" w:rsidP="00A27932">
      <w:pPr>
        <w:widowControl w:val="0"/>
        <w:autoSpaceDE w:val="0"/>
        <w:autoSpaceDN w:val="0"/>
        <w:adjustRightInd w:val="0"/>
        <w:spacing w:line="360" w:lineRule="auto"/>
        <w:jc w:val="both"/>
      </w:pPr>
      <w:r w:rsidRPr="00A27932">
        <w:t xml:space="preserve">Literature review. </w:t>
      </w:r>
    </w:p>
    <w:p w14:paraId="33FAFADF" w14:textId="77777777" w:rsidR="00A27932" w:rsidRPr="00A27932" w:rsidRDefault="00A27932" w:rsidP="00A27932">
      <w:pPr>
        <w:widowControl w:val="0"/>
        <w:autoSpaceDE w:val="0"/>
        <w:autoSpaceDN w:val="0"/>
        <w:adjustRightInd w:val="0"/>
        <w:spacing w:line="360" w:lineRule="auto"/>
        <w:jc w:val="both"/>
      </w:pPr>
      <w:r w:rsidRPr="00A27932">
        <w:t xml:space="preserve">Not at any one point will there be a full exclusive  Companies  created with an aim of not making profit and as such fighting to survive in the market help, they adapt to more measures to control loss. As a stock exchange market in Dubai, Dubai financial Market has a listing of around 178 with a market cap of US$89.18 million as at 2016 in March. Though it commitment to provide the investors with the necessary information and resources so as to make informed decision is very clear, the company ways of attracting the investors have been obstructive and it is through this that </w:t>
      </w:r>
      <w:r w:rsidRPr="00A27932">
        <w:lastRenderedPageBreak/>
        <w:t>some of them have lost their trust in the company. The steps of being an investor in the DFM are very elaborate starting from the application, to appointing a broker, to trading and lastly to the step of tracking portfolio</w:t>
      </w:r>
      <w:r w:rsidRPr="00A27932">
        <w:rPr>
          <w:color w:val="222222"/>
          <w:shd w:val="clear" w:color="auto" w:fill="FFFFFF"/>
        </w:rPr>
        <w:t xml:space="preserve"> (Salameh, and Alzubi, 2018, </w:t>
      </w:r>
      <w:r w:rsidRPr="00A27932">
        <w:rPr>
          <w:i/>
          <w:iCs/>
          <w:color w:val="222222"/>
          <w:shd w:val="clear" w:color="auto" w:fill="FFFFFF"/>
        </w:rPr>
        <w:t>Journal of Economic and Administrative Sciences</w:t>
      </w:r>
      <w:r w:rsidRPr="00A27932">
        <w:rPr>
          <w:color w:val="222222"/>
          <w:shd w:val="clear" w:color="auto" w:fill="FFFFFF"/>
        </w:rPr>
        <w:t>.)</w:t>
      </w:r>
      <w:r w:rsidRPr="00A27932">
        <w:t xml:space="preserve">.  ADX as an emerging market in the Arab region has continuously been tightening up it loop holes in order to increase its profit and weigh among the world markets. With a common goal of becoming the financial hub for the Persian Gulf, both the ADX and the DFM have been competing to take a lead over each other. ADX has been formulating strategic plan to promote it internal growth more than external one but with that, it has been able to attract investors. By looking at the volume of share traded in the stock market </w:t>
      </w:r>
    </w:p>
    <w:p w14:paraId="3E76FE20" w14:textId="77777777" w:rsidR="00A27932" w:rsidRPr="00A27932" w:rsidRDefault="00A27932" w:rsidP="00A27932">
      <w:pPr>
        <w:widowControl w:val="0"/>
        <w:autoSpaceDE w:val="0"/>
        <w:autoSpaceDN w:val="0"/>
        <w:adjustRightInd w:val="0"/>
        <w:spacing w:line="360" w:lineRule="auto"/>
        <w:jc w:val="both"/>
      </w:pPr>
      <w:r w:rsidRPr="00A27932">
        <w:t>from year 2010 to year 2014 we can compare it with the DFM  and one notable thing is that DFM has been doing good against ADX.</w:t>
      </w:r>
    </w:p>
    <w:p w14:paraId="75FFE58B" w14:textId="77777777" w:rsidR="00A27932" w:rsidRPr="00A27932" w:rsidRDefault="00A27932" w:rsidP="00A27932">
      <w:pPr>
        <w:widowControl w:val="0"/>
        <w:autoSpaceDE w:val="0"/>
        <w:autoSpaceDN w:val="0"/>
        <w:adjustRightInd w:val="0"/>
        <w:spacing w:line="360" w:lineRule="auto"/>
        <w:jc w:val="both"/>
      </w:pPr>
    </w:p>
    <w:p w14:paraId="7515F01E" w14:textId="77777777" w:rsidR="00A27932" w:rsidRPr="00A27932" w:rsidRDefault="00A27932" w:rsidP="00A27932">
      <w:pPr>
        <w:widowControl w:val="0"/>
        <w:autoSpaceDE w:val="0"/>
        <w:autoSpaceDN w:val="0"/>
        <w:adjustRightInd w:val="0"/>
        <w:spacing w:line="360" w:lineRule="auto"/>
        <w:jc w:val="both"/>
        <w:rPr>
          <w:b/>
        </w:rPr>
      </w:pPr>
      <w:r w:rsidRPr="00A27932">
        <w:rPr>
          <w:b/>
        </w:rPr>
        <w:t>Discussion</w:t>
      </w:r>
    </w:p>
    <w:p w14:paraId="65A99B05" w14:textId="77777777" w:rsidR="00A27932" w:rsidRPr="00A27932" w:rsidRDefault="00A27932" w:rsidP="00A27932">
      <w:pPr>
        <w:widowControl w:val="0"/>
        <w:autoSpaceDE w:val="0"/>
        <w:autoSpaceDN w:val="0"/>
        <w:adjustRightInd w:val="0"/>
        <w:spacing w:line="360" w:lineRule="auto"/>
        <w:jc w:val="both"/>
      </w:pPr>
      <w:r w:rsidRPr="00A27932">
        <w:t>.</w:t>
      </w:r>
    </w:p>
    <w:p w14:paraId="36ACECDA" w14:textId="77777777" w:rsidR="00A27932" w:rsidRPr="00A27932" w:rsidRDefault="00A27932" w:rsidP="00A27932">
      <w:pPr>
        <w:widowControl w:val="0"/>
        <w:autoSpaceDE w:val="0"/>
        <w:autoSpaceDN w:val="0"/>
        <w:adjustRightInd w:val="0"/>
        <w:spacing w:line="360" w:lineRule="auto"/>
        <w:jc w:val="both"/>
      </w:pPr>
      <w:r w:rsidRPr="00A27932">
        <w:t>(A)Evaluating the advantages and disadvantages of long-term capital market for rising corporate finance.</w:t>
      </w:r>
    </w:p>
    <w:p w14:paraId="23073F77" w14:textId="77777777" w:rsidR="00A27932" w:rsidRPr="00A27932" w:rsidRDefault="00A27932" w:rsidP="00A27932">
      <w:pPr>
        <w:widowControl w:val="0"/>
        <w:autoSpaceDE w:val="0"/>
        <w:autoSpaceDN w:val="0"/>
        <w:adjustRightInd w:val="0"/>
        <w:spacing w:line="360" w:lineRule="auto"/>
        <w:jc w:val="both"/>
      </w:pPr>
      <w:r w:rsidRPr="00A27932">
        <w:t>When raising corporate finance long- term capital market allow one to choose the investors and it treats one as a private company hence saves corporate from going to public to raise money for them to run business. There is flexibility in the amount and the type of funding required hence very convincing. Long- term market also allows corporate to make returns on capital over a longer period. The bad side of the long-term capital market for rising corporate finance is that there is reduced market for the shares or the bonds in the corporate and very limited investors who may be willing to invest in the corporate (</w:t>
      </w:r>
      <w:r w:rsidRPr="00A27932">
        <w:rPr>
          <w:color w:val="222222"/>
          <w:shd w:val="clear" w:color="auto" w:fill="FFFFFF"/>
        </w:rPr>
        <w:t xml:space="preserve">Elsokkary,Khan, La Torre, Humble,  and Gottlieb,  2017, </w:t>
      </w:r>
      <w:r w:rsidRPr="00A27932">
        <w:rPr>
          <w:i/>
          <w:iCs/>
          <w:color w:val="222222"/>
          <w:shd w:val="clear" w:color="auto" w:fill="FFFFFF"/>
        </w:rPr>
        <w:t>The Case of Abu Dhabi  Securities Exchange</w:t>
      </w:r>
      <w:r w:rsidRPr="00A27932">
        <w:rPr>
          <w:color w:val="222222"/>
          <w:shd w:val="clear" w:color="auto" w:fill="FFFFFF"/>
        </w:rPr>
        <w:t>)</w:t>
      </w:r>
      <w:r w:rsidRPr="00A27932">
        <w:t xml:space="preserve">. </w:t>
      </w:r>
    </w:p>
    <w:p w14:paraId="681A6AA8" w14:textId="77777777" w:rsidR="00A27932" w:rsidRPr="00A27932" w:rsidRDefault="00A27932" w:rsidP="00A27932">
      <w:pPr>
        <w:widowControl w:val="0"/>
        <w:autoSpaceDE w:val="0"/>
        <w:autoSpaceDN w:val="0"/>
        <w:adjustRightInd w:val="0"/>
        <w:spacing w:line="360" w:lineRule="auto"/>
        <w:jc w:val="both"/>
      </w:pPr>
    </w:p>
    <w:p w14:paraId="587A923C" w14:textId="77777777" w:rsidR="00A27932" w:rsidRPr="00A27932" w:rsidRDefault="00A27932" w:rsidP="00A27932">
      <w:pPr>
        <w:widowControl w:val="0"/>
        <w:autoSpaceDE w:val="0"/>
        <w:autoSpaceDN w:val="0"/>
        <w:adjustRightInd w:val="0"/>
        <w:spacing w:line="360" w:lineRule="auto"/>
        <w:jc w:val="both"/>
      </w:pPr>
    </w:p>
    <w:p w14:paraId="7148F484" w14:textId="77777777" w:rsidR="00A27932" w:rsidRPr="00A27932" w:rsidRDefault="00A27932" w:rsidP="00A27932">
      <w:pPr>
        <w:widowControl w:val="0"/>
        <w:autoSpaceDE w:val="0"/>
        <w:autoSpaceDN w:val="0"/>
        <w:adjustRightInd w:val="0"/>
        <w:spacing w:line="360" w:lineRule="auto"/>
        <w:jc w:val="both"/>
      </w:pPr>
      <w:r w:rsidRPr="00A27932">
        <w:t xml:space="preserve"> (b)Comparing between the different types of financial markets securities and what the major types that are used in both ADIX and DFM.</w:t>
      </w:r>
    </w:p>
    <w:p w14:paraId="16D95B4D" w14:textId="77777777" w:rsidR="00A27932" w:rsidRPr="00A27932" w:rsidRDefault="00A27932" w:rsidP="00A27932">
      <w:pPr>
        <w:widowControl w:val="0"/>
        <w:autoSpaceDE w:val="0"/>
        <w:autoSpaceDN w:val="0"/>
        <w:adjustRightInd w:val="0"/>
        <w:spacing w:line="360" w:lineRule="auto"/>
        <w:jc w:val="both"/>
        <w:rPr>
          <w:color w:val="222222"/>
          <w:shd w:val="clear" w:color="auto" w:fill="FFFFFF"/>
        </w:rPr>
      </w:pPr>
      <w:r w:rsidRPr="00A27932">
        <w:t xml:space="preserve">Stock market is one of the several types of financial market that we have in the UAE, stock market deals with trading of shares of ownership by the public companies. Shares on sale comes with tagged price and those that have invested in them make money only when they are sold at good prices to buyers. Investors use the Dow Jones Industrial Average to choose the best stock in the </w:t>
      </w:r>
      <w:r w:rsidRPr="00A27932">
        <w:lastRenderedPageBreak/>
        <w:t>market. Secondly, the bond market gives an opportunity for the government and the companies to secure money to finance their project. The difference between the bond and the stock market is that the latter is used as security while the former is as an investment tool, which has a direct link. Thirdly, we have the commodity market where traders and the investors sell and buy commodities and the natural resources. Lastly, we have the derivative market that is involved in the contract or the value of good that is already in the market. Financial markets are aimed at providing a good avenue where stock, bonds, derivatives and foreign exchange can be purchased and sold. Some regions refers to financial markets as the capital market while others refers to the as the Wall Street. Dubai International Financial Centre (DIFC) provides the financial infrastructure for a good environment in commodity trading and it aims at establishing Dubai as a global hub. Dubai Multi Commodities Centre (DMCC) provides a physical market and the financial infrastructure and it is involved in trading tea, Gold, diamond and Pearl. Dubai Exchange Pearl (DPE) supports global trade for both the Farmed and the natural. The leading derivatives exchange in the UAE is the Dubai Gold&amp; Commodities Exchange (DGCX), it deals with the valuable currencies, equities and the metals. The Dubai Financial Services Authority regulates Dubai Mercantile Exchange while on the other hard deals with the energy futures and commodities and it. UAE has NASDAQ Dubai as the international financial exchange and provides a unique platform for the companies to raise money. NASDAQ deals with the conventional bonds, Sukuk .Islamic, equities and the derivatives. The Dubai Financial Services Authority also regulates NASDAQ (</w:t>
      </w:r>
      <w:r w:rsidRPr="00A27932">
        <w:rPr>
          <w:color w:val="222222"/>
          <w:shd w:val="clear" w:color="auto" w:fill="FFFFFF"/>
        </w:rPr>
        <w:t>Muqattash, R.S., 2017,</w:t>
      </w:r>
      <w:r w:rsidRPr="00A27932">
        <w:t xml:space="preserve"> </w:t>
      </w:r>
      <w:r w:rsidRPr="00A27932">
        <w:rPr>
          <w:color w:val="222222"/>
          <w:shd w:val="clear" w:color="auto" w:fill="FFFFFF"/>
        </w:rPr>
        <w:t xml:space="preserve">pp.317- 334, </w:t>
      </w:r>
      <w:r w:rsidRPr="00A27932">
        <w:rPr>
          <w:i/>
          <w:iCs/>
          <w:color w:val="222222"/>
          <w:shd w:val="clear" w:color="auto" w:fill="FFFFFF"/>
        </w:rPr>
        <w:t>International Journal of Economics and Business Research).</w:t>
      </w:r>
    </w:p>
    <w:p w14:paraId="2B904974" w14:textId="77777777" w:rsidR="00A27932" w:rsidRPr="00A27932" w:rsidRDefault="00A27932" w:rsidP="00A27932">
      <w:pPr>
        <w:widowControl w:val="0"/>
        <w:autoSpaceDE w:val="0"/>
        <w:autoSpaceDN w:val="0"/>
        <w:adjustRightInd w:val="0"/>
        <w:spacing w:line="360" w:lineRule="auto"/>
        <w:jc w:val="both"/>
      </w:pPr>
    </w:p>
    <w:p w14:paraId="595EAE9F" w14:textId="77777777" w:rsidR="00A27932" w:rsidRPr="00A27932" w:rsidRDefault="00A27932" w:rsidP="00A27932">
      <w:pPr>
        <w:widowControl w:val="0"/>
        <w:autoSpaceDE w:val="0"/>
        <w:autoSpaceDN w:val="0"/>
        <w:adjustRightInd w:val="0"/>
        <w:spacing w:line="360" w:lineRule="auto"/>
        <w:jc w:val="both"/>
      </w:pPr>
      <w:r w:rsidRPr="00A27932">
        <w:t>(C)  Analyzing Abu Dhabi Islamic Bank as one of the listed company under ADX to see how it has been performing</w:t>
      </w:r>
    </w:p>
    <w:p w14:paraId="205DEE8B" w14:textId="77777777" w:rsidR="00A27932" w:rsidRPr="00A27932" w:rsidRDefault="00A27932" w:rsidP="00A27932">
      <w:pPr>
        <w:widowControl w:val="0"/>
        <w:autoSpaceDE w:val="0"/>
        <w:autoSpaceDN w:val="0"/>
        <w:adjustRightInd w:val="0"/>
        <w:spacing w:line="360" w:lineRule="auto"/>
        <w:jc w:val="both"/>
      </w:pPr>
      <w:r w:rsidRPr="00A27932">
        <w:t xml:space="preserve">  Abu Dhabi Islamic Bank Is An Islamic bank is based in the United Arab Emirates and located in Abu Dhabi city with the headquarters there. It is also one of the listed company under the ADX.  Three shareholders, who include, the prominent UAE nationals, Dr. Waseem Ahmed Khan and the Abu Dhabi Investment Authority, founded ADIB. The acting C.E.O is Khamis Mohamed Buharoon while the chairperson is H.E Jauaan A.S Khaili. The group chief Executive Officer is Tirad M. Mahmoud while the group Chief financial controller is Andrew Douglas Moir. The Company was founded in 1997 in May 20 as joint public stock company.  The bank started operating in November 11, 1998. While starting up its operations, the ADIB had a paid-up capital that was equivalent to one billion dirhams and was divided into one million share with the value </w:t>
      </w:r>
      <w:r w:rsidRPr="00A27932">
        <w:lastRenderedPageBreak/>
        <w:t>of each share being equal to 10 dirhams. These shares are also quoted in the   Abu Dhabi securities market (</w:t>
      </w:r>
      <w:r w:rsidRPr="00A27932">
        <w:rPr>
          <w:color w:val="222222"/>
          <w:shd w:val="clear" w:color="auto" w:fill="FFFFFF"/>
        </w:rPr>
        <w:t xml:space="preserve">Karathanasopoulos, and Osman, 2019 pp.346-353, </w:t>
      </w:r>
      <w:r w:rsidRPr="00A27932">
        <w:rPr>
          <w:i/>
          <w:iCs/>
          <w:color w:val="222222"/>
          <w:shd w:val="clear" w:color="auto" w:fill="FFFFFF"/>
        </w:rPr>
        <w:t>Journal of Forecasting</w:t>
      </w:r>
      <w:r w:rsidRPr="00A27932">
        <w:rPr>
          <w:color w:val="222222"/>
          <w:shd w:val="clear" w:color="auto" w:fill="FFFFFF"/>
        </w:rPr>
        <w:t>.)</w:t>
      </w:r>
      <w:r w:rsidRPr="00A27932">
        <w:t xml:space="preserve">.  The bank is structures in five main business segments: retailing segment, wholesaling segment, private banking segments, capital market segments and the real estate segment. The company ticker symbol is Abu Dhabi Islamic Bank PJSC and it trades under the ADX. The company business line include the mail and the contact information such as the </w:t>
      </w:r>
      <w:hyperlink r:id="rId8" w:history="1">
        <w:r w:rsidRPr="00A27932">
          <w:rPr>
            <w:color w:val="0563C1"/>
            <w:u w:val="single"/>
          </w:rPr>
          <w:t>customerservice@adib.ae</w:t>
        </w:r>
      </w:hyperlink>
      <w:r w:rsidRPr="00A27932">
        <w:t xml:space="preserve"> and a telephone number 600543216. P.O.Box 313 United Arab Emirates.</w:t>
      </w:r>
    </w:p>
    <w:tbl>
      <w:tblPr>
        <w:tblStyle w:val="TableGrid2"/>
        <w:tblW w:w="0" w:type="auto"/>
        <w:tblInd w:w="0" w:type="dxa"/>
        <w:tblLook w:val="04A0" w:firstRow="1" w:lastRow="0" w:firstColumn="1" w:lastColumn="0" w:noHBand="0" w:noVBand="1"/>
      </w:tblPr>
      <w:tblGrid>
        <w:gridCol w:w="4508"/>
        <w:gridCol w:w="4508"/>
      </w:tblGrid>
      <w:tr w:rsidR="00A27932" w:rsidRPr="00A27932" w14:paraId="0346BB37" w14:textId="77777777" w:rsidTr="00A27932">
        <w:tc>
          <w:tcPr>
            <w:tcW w:w="4508" w:type="dxa"/>
            <w:tcBorders>
              <w:top w:val="single" w:sz="4" w:space="0" w:color="auto"/>
              <w:left w:val="single" w:sz="4" w:space="0" w:color="auto"/>
              <w:bottom w:val="single" w:sz="4" w:space="0" w:color="auto"/>
              <w:right w:val="single" w:sz="4" w:space="0" w:color="auto"/>
            </w:tcBorders>
            <w:hideMark/>
          </w:tcPr>
          <w:p w14:paraId="4E9509BC" w14:textId="77777777" w:rsidR="00A27932" w:rsidRPr="00A27932" w:rsidRDefault="00A27932" w:rsidP="00A27932">
            <w:pPr>
              <w:widowControl w:val="0"/>
              <w:autoSpaceDE w:val="0"/>
              <w:autoSpaceDN w:val="0"/>
              <w:adjustRightInd w:val="0"/>
              <w:spacing w:line="360" w:lineRule="auto"/>
              <w:jc w:val="both"/>
            </w:pPr>
            <w:r w:rsidRPr="00A27932">
              <w:t xml:space="preserve">Toal assets </w:t>
            </w:r>
          </w:p>
        </w:tc>
        <w:tc>
          <w:tcPr>
            <w:tcW w:w="4508" w:type="dxa"/>
            <w:tcBorders>
              <w:top w:val="single" w:sz="4" w:space="0" w:color="auto"/>
              <w:left w:val="single" w:sz="4" w:space="0" w:color="auto"/>
              <w:bottom w:val="single" w:sz="4" w:space="0" w:color="auto"/>
              <w:right w:val="single" w:sz="4" w:space="0" w:color="auto"/>
            </w:tcBorders>
            <w:hideMark/>
          </w:tcPr>
          <w:p w14:paraId="46A356D3" w14:textId="77777777" w:rsidR="00A27932" w:rsidRPr="00A27932" w:rsidRDefault="00A27932" w:rsidP="00A27932">
            <w:pPr>
              <w:widowControl w:val="0"/>
              <w:autoSpaceDE w:val="0"/>
              <w:autoSpaceDN w:val="0"/>
              <w:adjustRightInd w:val="0"/>
              <w:spacing w:line="360" w:lineRule="auto"/>
              <w:jc w:val="both"/>
            </w:pPr>
            <w:r w:rsidRPr="00A27932">
              <w:t xml:space="preserve">AED 125.2 Billion </w:t>
            </w:r>
          </w:p>
        </w:tc>
      </w:tr>
      <w:tr w:rsidR="00A27932" w:rsidRPr="00A27932" w14:paraId="46C30FD7" w14:textId="77777777" w:rsidTr="00A27932">
        <w:tc>
          <w:tcPr>
            <w:tcW w:w="4508" w:type="dxa"/>
            <w:tcBorders>
              <w:top w:val="single" w:sz="4" w:space="0" w:color="auto"/>
              <w:left w:val="single" w:sz="4" w:space="0" w:color="auto"/>
              <w:bottom w:val="single" w:sz="4" w:space="0" w:color="auto"/>
              <w:right w:val="single" w:sz="4" w:space="0" w:color="auto"/>
            </w:tcBorders>
            <w:hideMark/>
          </w:tcPr>
          <w:p w14:paraId="4B88E94C" w14:textId="77777777" w:rsidR="00A27932" w:rsidRPr="00A27932" w:rsidRDefault="00A27932" w:rsidP="00A27932">
            <w:pPr>
              <w:widowControl w:val="0"/>
              <w:autoSpaceDE w:val="0"/>
              <w:autoSpaceDN w:val="0"/>
              <w:adjustRightInd w:val="0"/>
              <w:spacing w:line="360" w:lineRule="auto"/>
              <w:jc w:val="both"/>
            </w:pPr>
            <w:r w:rsidRPr="00A27932">
              <w:t xml:space="preserve">Total customer Deposits </w:t>
            </w:r>
          </w:p>
        </w:tc>
        <w:tc>
          <w:tcPr>
            <w:tcW w:w="4508" w:type="dxa"/>
            <w:tcBorders>
              <w:top w:val="single" w:sz="4" w:space="0" w:color="auto"/>
              <w:left w:val="single" w:sz="4" w:space="0" w:color="auto"/>
              <w:bottom w:val="single" w:sz="4" w:space="0" w:color="auto"/>
              <w:right w:val="single" w:sz="4" w:space="0" w:color="auto"/>
            </w:tcBorders>
            <w:hideMark/>
          </w:tcPr>
          <w:p w14:paraId="5E6AEAEB" w14:textId="77777777" w:rsidR="00A27932" w:rsidRPr="00A27932" w:rsidRDefault="00A27932" w:rsidP="00A27932">
            <w:pPr>
              <w:widowControl w:val="0"/>
              <w:autoSpaceDE w:val="0"/>
              <w:autoSpaceDN w:val="0"/>
              <w:adjustRightInd w:val="0"/>
              <w:spacing w:line="360" w:lineRule="auto"/>
              <w:jc w:val="both"/>
            </w:pPr>
            <w:r w:rsidRPr="00A27932">
              <w:t>AED   100.4 Billion</w:t>
            </w:r>
          </w:p>
        </w:tc>
      </w:tr>
      <w:tr w:rsidR="00A27932" w:rsidRPr="00A27932" w14:paraId="6816B287" w14:textId="77777777" w:rsidTr="00A27932">
        <w:tc>
          <w:tcPr>
            <w:tcW w:w="4508" w:type="dxa"/>
            <w:tcBorders>
              <w:top w:val="single" w:sz="4" w:space="0" w:color="auto"/>
              <w:left w:val="single" w:sz="4" w:space="0" w:color="auto"/>
              <w:bottom w:val="single" w:sz="4" w:space="0" w:color="auto"/>
              <w:right w:val="single" w:sz="4" w:space="0" w:color="auto"/>
            </w:tcBorders>
            <w:hideMark/>
          </w:tcPr>
          <w:p w14:paraId="4443761C" w14:textId="77777777" w:rsidR="00A27932" w:rsidRPr="00A27932" w:rsidRDefault="00A27932" w:rsidP="00A27932">
            <w:pPr>
              <w:widowControl w:val="0"/>
              <w:autoSpaceDE w:val="0"/>
              <w:autoSpaceDN w:val="0"/>
              <w:adjustRightInd w:val="0"/>
              <w:spacing w:line="360" w:lineRule="auto"/>
              <w:jc w:val="both"/>
            </w:pPr>
            <w:r w:rsidRPr="00A27932">
              <w:t xml:space="preserve">Equity </w:t>
            </w:r>
          </w:p>
        </w:tc>
        <w:tc>
          <w:tcPr>
            <w:tcW w:w="4508" w:type="dxa"/>
            <w:tcBorders>
              <w:top w:val="single" w:sz="4" w:space="0" w:color="auto"/>
              <w:left w:val="single" w:sz="4" w:space="0" w:color="auto"/>
              <w:bottom w:val="single" w:sz="4" w:space="0" w:color="auto"/>
              <w:right w:val="single" w:sz="4" w:space="0" w:color="auto"/>
            </w:tcBorders>
            <w:hideMark/>
          </w:tcPr>
          <w:p w14:paraId="6B16E331" w14:textId="77777777" w:rsidR="00A27932" w:rsidRPr="00A27932" w:rsidRDefault="00A27932" w:rsidP="00A27932">
            <w:pPr>
              <w:widowControl w:val="0"/>
              <w:autoSpaceDE w:val="0"/>
              <w:autoSpaceDN w:val="0"/>
              <w:adjustRightInd w:val="0"/>
              <w:spacing w:line="360" w:lineRule="auto"/>
              <w:jc w:val="both"/>
            </w:pPr>
            <w:r w:rsidRPr="00A27932">
              <w:t xml:space="preserve">AED      17.7 Billion </w:t>
            </w:r>
          </w:p>
        </w:tc>
      </w:tr>
      <w:tr w:rsidR="00A27932" w:rsidRPr="00A27932" w14:paraId="632A6B75" w14:textId="77777777" w:rsidTr="00A27932">
        <w:tc>
          <w:tcPr>
            <w:tcW w:w="4508" w:type="dxa"/>
            <w:tcBorders>
              <w:top w:val="single" w:sz="4" w:space="0" w:color="auto"/>
              <w:left w:val="single" w:sz="4" w:space="0" w:color="auto"/>
              <w:bottom w:val="single" w:sz="4" w:space="0" w:color="auto"/>
              <w:right w:val="single" w:sz="4" w:space="0" w:color="auto"/>
            </w:tcBorders>
            <w:hideMark/>
          </w:tcPr>
          <w:p w14:paraId="49CBDC41" w14:textId="77777777" w:rsidR="00A27932" w:rsidRPr="00A27932" w:rsidRDefault="00A27932" w:rsidP="00A27932">
            <w:pPr>
              <w:widowControl w:val="0"/>
              <w:autoSpaceDE w:val="0"/>
              <w:autoSpaceDN w:val="0"/>
              <w:adjustRightInd w:val="0"/>
              <w:spacing w:line="360" w:lineRule="auto"/>
              <w:jc w:val="both"/>
            </w:pPr>
            <w:r w:rsidRPr="00A27932">
              <w:t xml:space="preserve">Net profit </w:t>
            </w:r>
          </w:p>
        </w:tc>
        <w:tc>
          <w:tcPr>
            <w:tcW w:w="4508" w:type="dxa"/>
            <w:tcBorders>
              <w:top w:val="single" w:sz="4" w:space="0" w:color="auto"/>
              <w:left w:val="single" w:sz="4" w:space="0" w:color="auto"/>
              <w:bottom w:val="single" w:sz="4" w:space="0" w:color="auto"/>
              <w:right w:val="single" w:sz="4" w:space="0" w:color="auto"/>
            </w:tcBorders>
            <w:hideMark/>
          </w:tcPr>
          <w:p w14:paraId="2CCD8314" w14:textId="77777777" w:rsidR="00A27932" w:rsidRPr="00A27932" w:rsidRDefault="00A27932" w:rsidP="00A27932">
            <w:pPr>
              <w:widowControl w:val="0"/>
              <w:autoSpaceDE w:val="0"/>
              <w:autoSpaceDN w:val="0"/>
              <w:adjustRightInd w:val="0"/>
              <w:spacing w:line="360" w:lineRule="auto"/>
              <w:jc w:val="both"/>
            </w:pPr>
            <w:r w:rsidRPr="00A27932">
              <w:t xml:space="preserve">AED        2501 Billion </w:t>
            </w:r>
          </w:p>
        </w:tc>
      </w:tr>
      <w:tr w:rsidR="00A27932" w:rsidRPr="00A27932" w14:paraId="4B5C17A1" w14:textId="77777777" w:rsidTr="00A27932">
        <w:tc>
          <w:tcPr>
            <w:tcW w:w="4508" w:type="dxa"/>
            <w:tcBorders>
              <w:top w:val="single" w:sz="4" w:space="0" w:color="auto"/>
              <w:left w:val="single" w:sz="4" w:space="0" w:color="auto"/>
              <w:bottom w:val="single" w:sz="4" w:space="0" w:color="auto"/>
              <w:right w:val="single" w:sz="4" w:space="0" w:color="auto"/>
            </w:tcBorders>
            <w:hideMark/>
          </w:tcPr>
          <w:p w14:paraId="6D69557F" w14:textId="77777777" w:rsidR="00A27932" w:rsidRPr="00A27932" w:rsidRDefault="00A27932" w:rsidP="00A27932">
            <w:pPr>
              <w:widowControl w:val="0"/>
              <w:autoSpaceDE w:val="0"/>
              <w:autoSpaceDN w:val="0"/>
              <w:adjustRightInd w:val="0"/>
              <w:spacing w:line="360" w:lineRule="auto"/>
              <w:jc w:val="both"/>
            </w:pPr>
            <w:r w:rsidRPr="00A27932">
              <w:t>Customer Financing To deposit</w:t>
            </w:r>
          </w:p>
        </w:tc>
        <w:tc>
          <w:tcPr>
            <w:tcW w:w="4508" w:type="dxa"/>
            <w:tcBorders>
              <w:top w:val="single" w:sz="4" w:space="0" w:color="auto"/>
              <w:left w:val="single" w:sz="4" w:space="0" w:color="auto"/>
              <w:bottom w:val="single" w:sz="4" w:space="0" w:color="auto"/>
              <w:right w:val="single" w:sz="4" w:space="0" w:color="auto"/>
            </w:tcBorders>
            <w:hideMark/>
          </w:tcPr>
          <w:p w14:paraId="7D01DBD9" w14:textId="77777777" w:rsidR="00A27932" w:rsidRPr="00A27932" w:rsidRDefault="00A27932" w:rsidP="00A27932">
            <w:pPr>
              <w:widowControl w:val="0"/>
              <w:autoSpaceDE w:val="0"/>
              <w:autoSpaceDN w:val="0"/>
              <w:adjustRightInd w:val="0"/>
              <w:spacing w:line="360" w:lineRule="auto"/>
              <w:jc w:val="both"/>
            </w:pPr>
            <w:r w:rsidRPr="00A27932">
              <w:t xml:space="preserve">   78%</w:t>
            </w:r>
          </w:p>
        </w:tc>
      </w:tr>
    </w:tbl>
    <w:p w14:paraId="270368CF" w14:textId="77777777" w:rsidR="00A27932" w:rsidRPr="00A27932" w:rsidRDefault="00A27932" w:rsidP="00A27932">
      <w:pPr>
        <w:widowControl w:val="0"/>
        <w:autoSpaceDE w:val="0"/>
        <w:autoSpaceDN w:val="0"/>
        <w:adjustRightInd w:val="0"/>
        <w:spacing w:line="360" w:lineRule="auto"/>
        <w:jc w:val="both"/>
      </w:pPr>
    </w:p>
    <w:p w14:paraId="48D8A790" w14:textId="77777777" w:rsidR="00A27932" w:rsidRPr="00A27932" w:rsidRDefault="00A27932" w:rsidP="00A27932">
      <w:pPr>
        <w:widowControl w:val="0"/>
        <w:autoSpaceDE w:val="0"/>
        <w:autoSpaceDN w:val="0"/>
        <w:adjustRightInd w:val="0"/>
        <w:spacing w:line="360" w:lineRule="auto"/>
        <w:jc w:val="both"/>
      </w:pPr>
      <w:r w:rsidRPr="00A27932">
        <w:t>In 2018 the net profit increased by 8.7% to AED 2501 Million and the total revenue also increased by 2.4% to AED 5769 milion</w:t>
      </w:r>
    </w:p>
    <w:p w14:paraId="3AA11B66" w14:textId="77777777" w:rsidR="00A27932" w:rsidRPr="00A27932" w:rsidRDefault="00A27932" w:rsidP="00A27932">
      <w:pPr>
        <w:widowControl w:val="0"/>
        <w:autoSpaceDE w:val="0"/>
        <w:autoSpaceDN w:val="0"/>
        <w:adjustRightInd w:val="0"/>
        <w:spacing w:line="360" w:lineRule="auto"/>
        <w:jc w:val="both"/>
      </w:pPr>
    </w:p>
    <w:p w14:paraId="51A4FAF6" w14:textId="77777777" w:rsidR="00A27932" w:rsidRPr="00A27932" w:rsidRDefault="00A27932" w:rsidP="00A27932">
      <w:pPr>
        <w:widowControl w:val="0"/>
        <w:autoSpaceDE w:val="0"/>
        <w:autoSpaceDN w:val="0"/>
        <w:adjustRightInd w:val="0"/>
        <w:spacing w:line="360" w:lineRule="auto"/>
        <w:jc w:val="both"/>
      </w:pPr>
    </w:p>
    <w:p w14:paraId="413C8037" w14:textId="77777777" w:rsidR="00A27932" w:rsidRPr="00A27932" w:rsidRDefault="00A27932" w:rsidP="00A27932">
      <w:pPr>
        <w:widowControl w:val="0"/>
        <w:autoSpaceDE w:val="0"/>
        <w:autoSpaceDN w:val="0"/>
        <w:adjustRightInd w:val="0"/>
        <w:spacing w:line="360" w:lineRule="auto"/>
        <w:jc w:val="both"/>
      </w:pPr>
      <w:r w:rsidRPr="00A27932">
        <w:t xml:space="preserve"> The following are the key statistics about the ADIB</w:t>
      </w:r>
    </w:p>
    <w:tbl>
      <w:tblPr>
        <w:tblStyle w:val="TableGrid2"/>
        <w:tblW w:w="0" w:type="auto"/>
        <w:tblInd w:w="0" w:type="dxa"/>
        <w:tblLook w:val="04A0" w:firstRow="1" w:lastRow="0" w:firstColumn="1" w:lastColumn="0" w:noHBand="0" w:noVBand="1"/>
      </w:tblPr>
      <w:tblGrid>
        <w:gridCol w:w="1803"/>
        <w:gridCol w:w="1803"/>
        <w:gridCol w:w="1803"/>
        <w:gridCol w:w="1803"/>
        <w:gridCol w:w="1804"/>
      </w:tblGrid>
      <w:tr w:rsidR="00A27932" w:rsidRPr="00A27932" w14:paraId="0D094BC3" w14:textId="77777777" w:rsidTr="00A27932">
        <w:tc>
          <w:tcPr>
            <w:tcW w:w="1803" w:type="dxa"/>
            <w:tcBorders>
              <w:top w:val="single" w:sz="4" w:space="0" w:color="auto"/>
              <w:left w:val="single" w:sz="4" w:space="0" w:color="auto"/>
              <w:bottom w:val="single" w:sz="4" w:space="0" w:color="auto"/>
              <w:right w:val="single" w:sz="4" w:space="0" w:color="auto"/>
            </w:tcBorders>
            <w:hideMark/>
          </w:tcPr>
          <w:p w14:paraId="490F9772" w14:textId="77777777" w:rsidR="00A27932" w:rsidRPr="00A27932" w:rsidRDefault="00A27932" w:rsidP="00A27932">
            <w:pPr>
              <w:widowControl w:val="0"/>
              <w:autoSpaceDE w:val="0"/>
              <w:autoSpaceDN w:val="0"/>
              <w:adjustRightInd w:val="0"/>
              <w:spacing w:line="360" w:lineRule="auto"/>
              <w:jc w:val="both"/>
            </w:pPr>
            <w:r w:rsidRPr="00A27932">
              <w:t>p/E ratio</w:t>
            </w:r>
          </w:p>
        </w:tc>
        <w:tc>
          <w:tcPr>
            <w:tcW w:w="1803" w:type="dxa"/>
            <w:tcBorders>
              <w:top w:val="single" w:sz="4" w:space="0" w:color="auto"/>
              <w:left w:val="single" w:sz="4" w:space="0" w:color="auto"/>
              <w:bottom w:val="single" w:sz="4" w:space="0" w:color="auto"/>
              <w:right w:val="single" w:sz="4" w:space="0" w:color="auto"/>
            </w:tcBorders>
            <w:hideMark/>
          </w:tcPr>
          <w:p w14:paraId="7631C59B" w14:textId="77777777" w:rsidR="00A27932" w:rsidRPr="00A27932" w:rsidRDefault="00A27932" w:rsidP="00A27932">
            <w:pPr>
              <w:widowControl w:val="0"/>
              <w:autoSpaceDE w:val="0"/>
              <w:autoSpaceDN w:val="0"/>
              <w:adjustRightInd w:val="0"/>
              <w:spacing w:line="360" w:lineRule="auto"/>
              <w:jc w:val="both"/>
            </w:pPr>
            <w:r w:rsidRPr="00A27932">
              <w:t>5.73</w:t>
            </w:r>
          </w:p>
        </w:tc>
        <w:tc>
          <w:tcPr>
            <w:tcW w:w="1803" w:type="dxa"/>
            <w:tcBorders>
              <w:top w:val="single" w:sz="4" w:space="0" w:color="auto"/>
              <w:left w:val="single" w:sz="4" w:space="0" w:color="auto"/>
              <w:bottom w:val="single" w:sz="4" w:space="0" w:color="auto"/>
              <w:right w:val="single" w:sz="4" w:space="0" w:color="auto"/>
            </w:tcBorders>
          </w:tcPr>
          <w:p w14:paraId="6E76B94D" w14:textId="77777777" w:rsidR="00A27932" w:rsidRPr="00A27932" w:rsidRDefault="00A27932" w:rsidP="00A27932">
            <w:pPr>
              <w:widowControl w:val="0"/>
              <w:autoSpaceDE w:val="0"/>
              <w:autoSpaceDN w:val="0"/>
              <w:adjustRightInd w:val="0"/>
              <w:spacing w:line="360" w:lineRule="auto"/>
              <w:jc w:val="both"/>
            </w:pPr>
          </w:p>
        </w:tc>
        <w:tc>
          <w:tcPr>
            <w:tcW w:w="1803" w:type="dxa"/>
            <w:tcBorders>
              <w:top w:val="single" w:sz="4" w:space="0" w:color="auto"/>
              <w:left w:val="single" w:sz="4" w:space="0" w:color="auto"/>
              <w:bottom w:val="single" w:sz="4" w:space="0" w:color="auto"/>
              <w:right w:val="single" w:sz="4" w:space="0" w:color="auto"/>
            </w:tcBorders>
            <w:hideMark/>
          </w:tcPr>
          <w:p w14:paraId="5BAFB1B0" w14:textId="77777777" w:rsidR="00A27932" w:rsidRPr="00A27932" w:rsidRDefault="00A27932" w:rsidP="00A27932">
            <w:pPr>
              <w:widowControl w:val="0"/>
              <w:autoSpaceDE w:val="0"/>
              <w:autoSpaceDN w:val="0"/>
              <w:adjustRightInd w:val="0"/>
              <w:spacing w:line="360" w:lineRule="auto"/>
              <w:jc w:val="both"/>
            </w:pPr>
            <w:r w:rsidRPr="00A27932">
              <w:t xml:space="preserve">1 year return </w:t>
            </w:r>
          </w:p>
        </w:tc>
        <w:tc>
          <w:tcPr>
            <w:tcW w:w="1804" w:type="dxa"/>
            <w:tcBorders>
              <w:top w:val="single" w:sz="4" w:space="0" w:color="auto"/>
              <w:left w:val="single" w:sz="4" w:space="0" w:color="auto"/>
              <w:bottom w:val="single" w:sz="4" w:space="0" w:color="auto"/>
              <w:right w:val="single" w:sz="4" w:space="0" w:color="auto"/>
            </w:tcBorders>
            <w:hideMark/>
          </w:tcPr>
          <w:p w14:paraId="7E408A5F" w14:textId="77777777" w:rsidR="00A27932" w:rsidRPr="00A27932" w:rsidRDefault="00A27932" w:rsidP="00A27932">
            <w:pPr>
              <w:widowControl w:val="0"/>
              <w:autoSpaceDE w:val="0"/>
              <w:autoSpaceDN w:val="0"/>
              <w:adjustRightInd w:val="0"/>
              <w:spacing w:line="360" w:lineRule="auto"/>
              <w:jc w:val="both"/>
            </w:pPr>
            <w:r w:rsidRPr="00A27932">
              <w:t>-19.825</w:t>
            </w:r>
          </w:p>
        </w:tc>
      </w:tr>
      <w:tr w:rsidR="00A27932" w:rsidRPr="00A27932" w14:paraId="050F96DB" w14:textId="77777777" w:rsidTr="00A27932">
        <w:tc>
          <w:tcPr>
            <w:tcW w:w="1803" w:type="dxa"/>
            <w:tcBorders>
              <w:top w:val="single" w:sz="4" w:space="0" w:color="auto"/>
              <w:left w:val="single" w:sz="4" w:space="0" w:color="auto"/>
              <w:bottom w:val="single" w:sz="4" w:space="0" w:color="auto"/>
              <w:right w:val="single" w:sz="4" w:space="0" w:color="auto"/>
            </w:tcBorders>
            <w:hideMark/>
          </w:tcPr>
          <w:p w14:paraId="38AC2506" w14:textId="77777777" w:rsidR="00A27932" w:rsidRPr="00A27932" w:rsidRDefault="00A27932" w:rsidP="00A27932">
            <w:pPr>
              <w:widowControl w:val="0"/>
              <w:autoSpaceDE w:val="0"/>
              <w:autoSpaceDN w:val="0"/>
              <w:adjustRightInd w:val="0"/>
              <w:spacing w:line="360" w:lineRule="auto"/>
              <w:jc w:val="both"/>
            </w:pPr>
            <w:r w:rsidRPr="00A27932">
              <w:t>PEGY Ratio</w:t>
            </w:r>
          </w:p>
        </w:tc>
        <w:tc>
          <w:tcPr>
            <w:tcW w:w="1803" w:type="dxa"/>
            <w:tcBorders>
              <w:top w:val="single" w:sz="4" w:space="0" w:color="auto"/>
              <w:left w:val="single" w:sz="4" w:space="0" w:color="auto"/>
              <w:bottom w:val="single" w:sz="4" w:space="0" w:color="auto"/>
              <w:right w:val="single" w:sz="4" w:space="0" w:color="auto"/>
            </w:tcBorders>
            <w:hideMark/>
          </w:tcPr>
          <w:p w14:paraId="3F151EF6" w14:textId="77777777" w:rsidR="00A27932" w:rsidRPr="00A27932" w:rsidRDefault="00A27932" w:rsidP="00A27932">
            <w:pPr>
              <w:widowControl w:val="0"/>
              <w:autoSpaceDE w:val="0"/>
              <w:autoSpaceDN w:val="0"/>
              <w:adjustRightInd w:val="0"/>
              <w:spacing w:line="360" w:lineRule="auto"/>
              <w:jc w:val="both"/>
            </w:pPr>
            <w:r w:rsidRPr="00A27932">
              <w:t>---</w:t>
            </w:r>
          </w:p>
        </w:tc>
        <w:tc>
          <w:tcPr>
            <w:tcW w:w="1803" w:type="dxa"/>
            <w:tcBorders>
              <w:top w:val="single" w:sz="4" w:space="0" w:color="auto"/>
              <w:left w:val="single" w:sz="4" w:space="0" w:color="auto"/>
              <w:bottom w:val="single" w:sz="4" w:space="0" w:color="auto"/>
              <w:right w:val="single" w:sz="4" w:space="0" w:color="auto"/>
            </w:tcBorders>
          </w:tcPr>
          <w:p w14:paraId="28519DA8" w14:textId="77777777" w:rsidR="00A27932" w:rsidRPr="00A27932" w:rsidRDefault="00A27932" w:rsidP="00A27932">
            <w:pPr>
              <w:widowControl w:val="0"/>
              <w:autoSpaceDE w:val="0"/>
              <w:autoSpaceDN w:val="0"/>
              <w:adjustRightInd w:val="0"/>
              <w:spacing w:line="360" w:lineRule="auto"/>
              <w:jc w:val="both"/>
            </w:pPr>
          </w:p>
        </w:tc>
        <w:tc>
          <w:tcPr>
            <w:tcW w:w="1803" w:type="dxa"/>
            <w:tcBorders>
              <w:top w:val="single" w:sz="4" w:space="0" w:color="auto"/>
              <w:left w:val="single" w:sz="4" w:space="0" w:color="auto"/>
              <w:bottom w:val="single" w:sz="4" w:space="0" w:color="auto"/>
              <w:right w:val="single" w:sz="4" w:space="0" w:color="auto"/>
            </w:tcBorders>
            <w:hideMark/>
          </w:tcPr>
          <w:p w14:paraId="5E1A0B26" w14:textId="77777777" w:rsidR="00A27932" w:rsidRPr="00A27932" w:rsidRDefault="00A27932" w:rsidP="00A27932">
            <w:pPr>
              <w:widowControl w:val="0"/>
              <w:autoSpaceDE w:val="0"/>
              <w:autoSpaceDN w:val="0"/>
              <w:adjustRightInd w:val="0"/>
              <w:spacing w:line="360" w:lineRule="auto"/>
              <w:jc w:val="both"/>
            </w:pPr>
            <w:r w:rsidRPr="00A27932">
              <w:t>30 days Avg volume</w:t>
            </w:r>
          </w:p>
        </w:tc>
        <w:tc>
          <w:tcPr>
            <w:tcW w:w="1804" w:type="dxa"/>
            <w:tcBorders>
              <w:top w:val="single" w:sz="4" w:space="0" w:color="auto"/>
              <w:left w:val="single" w:sz="4" w:space="0" w:color="auto"/>
              <w:bottom w:val="single" w:sz="4" w:space="0" w:color="auto"/>
              <w:right w:val="single" w:sz="4" w:space="0" w:color="auto"/>
            </w:tcBorders>
            <w:hideMark/>
          </w:tcPr>
          <w:p w14:paraId="282A97D5" w14:textId="77777777" w:rsidR="00A27932" w:rsidRPr="00A27932" w:rsidRDefault="00A27932" w:rsidP="00A27932">
            <w:pPr>
              <w:widowControl w:val="0"/>
              <w:autoSpaceDE w:val="0"/>
              <w:autoSpaceDN w:val="0"/>
              <w:adjustRightInd w:val="0"/>
              <w:spacing w:line="360" w:lineRule="auto"/>
              <w:jc w:val="both"/>
            </w:pPr>
            <w:r w:rsidRPr="00A27932">
              <w:t>4814822</w:t>
            </w:r>
          </w:p>
        </w:tc>
      </w:tr>
      <w:tr w:rsidR="00A27932" w:rsidRPr="00A27932" w14:paraId="207D5A69" w14:textId="77777777" w:rsidTr="00A27932">
        <w:tc>
          <w:tcPr>
            <w:tcW w:w="1803" w:type="dxa"/>
            <w:tcBorders>
              <w:top w:val="single" w:sz="4" w:space="0" w:color="auto"/>
              <w:left w:val="single" w:sz="4" w:space="0" w:color="auto"/>
              <w:bottom w:val="single" w:sz="4" w:space="0" w:color="auto"/>
              <w:right w:val="single" w:sz="4" w:space="0" w:color="auto"/>
            </w:tcBorders>
            <w:hideMark/>
          </w:tcPr>
          <w:p w14:paraId="421B062E" w14:textId="77777777" w:rsidR="00A27932" w:rsidRPr="00A27932" w:rsidRDefault="00A27932" w:rsidP="00A27932">
            <w:pPr>
              <w:widowControl w:val="0"/>
              <w:autoSpaceDE w:val="0"/>
              <w:autoSpaceDN w:val="0"/>
              <w:adjustRightInd w:val="0"/>
              <w:spacing w:line="360" w:lineRule="auto"/>
              <w:jc w:val="both"/>
            </w:pPr>
            <w:r w:rsidRPr="00A27932">
              <w:t xml:space="preserve">Shares outstanding </w:t>
            </w:r>
          </w:p>
        </w:tc>
        <w:tc>
          <w:tcPr>
            <w:tcW w:w="1803" w:type="dxa"/>
            <w:tcBorders>
              <w:top w:val="single" w:sz="4" w:space="0" w:color="auto"/>
              <w:left w:val="single" w:sz="4" w:space="0" w:color="auto"/>
              <w:bottom w:val="single" w:sz="4" w:space="0" w:color="auto"/>
              <w:right w:val="single" w:sz="4" w:space="0" w:color="auto"/>
            </w:tcBorders>
            <w:hideMark/>
          </w:tcPr>
          <w:p w14:paraId="21C8FC83" w14:textId="77777777" w:rsidR="00A27932" w:rsidRPr="00A27932" w:rsidRDefault="00A27932" w:rsidP="00A27932">
            <w:pPr>
              <w:widowControl w:val="0"/>
              <w:autoSpaceDE w:val="0"/>
              <w:autoSpaceDN w:val="0"/>
              <w:adjustRightInd w:val="0"/>
              <w:spacing w:line="360" w:lineRule="auto"/>
              <w:jc w:val="both"/>
            </w:pPr>
            <w:r w:rsidRPr="00A27932">
              <w:t>3.63B</w:t>
            </w:r>
          </w:p>
        </w:tc>
        <w:tc>
          <w:tcPr>
            <w:tcW w:w="1803" w:type="dxa"/>
            <w:tcBorders>
              <w:top w:val="single" w:sz="4" w:space="0" w:color="auto"/>
              <w:left w:val="single" w:sz="4" w:space="0" w:color="auto"/>
              <w:bottom w:val="single" w:sz="4" w:space="0" w:color="auto"/>
              <w:right w:val="single" w:sz="4" w:space="0" w:color="auto"/>
            </w:tcBorders>
          </w:tcPr>
          <w:p w14:paraId="368BF359" w14:textId="77777777" w:rsidR="00A27932" w:rsidRPr="00A27932" w:rsidRDefault="00A27932" w:rsidP="00A27932">
            <w:pPr>
              <w:widowControl w:val="0"/>
              <w:autoSpaceDE w:val="0"/>
              <w:autoSpaceDN w:val="0"/>
              <w:adjustRightInd w:val="0"/>
              <w:spacing w:line="360" w:lineRule="auto"/>
              <w:jc w:val="both"/>
            </w:pPr>
          </w:p>
        </w:tc>
        <w:tc>
          <w:tcPr>
            <w:tcW w:w="1803" w:type="dxa"/>
            <w:tcBorders>
              <w:top w:val="single" w:sz="4" w:space="0" w:color="auto"/>
              <w:left w:val="single" w:sz="4" w:space="0" w:color="auto"/>
              <w:bottom w:val="single" w:sz="4" w:space="0" w:color="auto"/>
              <w:right w:val="single" w:sz="4" w:space="0" w:color="auto"/>
            </w:tcBorders>
            <w:hideMark/>
          </w:tcPr>
          <w:p w14:paraId="32037B4B" w14:textId="77777777" w:rsidR="00A27932" w:rsidRPr="00A27932" w:rsidRDefault="00A27932" w:rsidP="00A27932">
            <w:pPr>
              <w:widowControl w:val="0"/>
              <w:autoSpaceDE w:val="0"/>
              <w:autoSpaceDN w:val="0"/>
              <w:adjustRightInd w:val="0"/>
              <w:spacing w:line="360" w:lineRule="auto"/>
              <w:jc w:val="both"/>
            </w:pPr>
            <w:r w:rsidRPr="00A27932">
              <w:t>EPS</w:t>
            </w:r>
          </w:p>
        </w:tc>
        <w:tc>
          <w:tcPr>
            <w:tcW w:w="1804" w:type="dxa"/>
            <w:tcBorders>
              <w:top w:val="single" w:sz="4" w:space="0" w:color="auto"/>
              <w:left w:val="single" w:sz="4" w:space="0" w:color="auto"/>
              <w:bottom w:val="single" w:sz="4" w:space="0" w:color="auto"/>
              <w:right w:val="single" w:sz="4" w:space="0" w:color="auto"/>
            </w:tcBorders>
            <w:hideMark/>
          </w:tcPr>
          <w:p w14:paraId="4A9DBD8B" w14:textId="77777777" w:rsidR="00A27932" w:rsidRPr="00A27932" w:rsidRDefault="00A27932" w:rsidP="00A27932">
            <w:pPr>
              <w:widowControl w:val="0"/>
              <w:autoSpaceDE w:val="0"/>
              <w:autoSpaceDN w:val="0"/>
              <w:adjustRightInd w:val="0"/>
              <w:spacing w:line="360" w:lineRule="auto"/>
              <w:jc w:val="both"/>
            </w:pPr>
            <w:r w:rsidRPr="00A27932">
              <w:t>0.57</w:t>
            </w:r>
          </w:p>
        </w:tc>
      </w:tr>
      <w:tr w:rsidR="00A27932" w:rsidRPr="00A27932" w14:paraId="4D0735FA" w14:textId="77777777" w:rsidTr="00A27932">
        <w:tc>
          <w:tcPr>
            <w:tcW w:w="1803" w:type="dxa"/>
            <w:tcBorders>
              <w:top w:val="single" w:sz="4" w:space="0" w:color="auto"/>
              <w:left w:val="single" w:sz="4" w:space="0" w:color="auto"/>
              <w:bottom w:val="single" w:sz="4" w:space="0" w:color="auto"/>
              <w:right w:val="single" w:sz="4" w:space="0" w:color="auto"/>
            </w:tcBorders>
            <w:hideMark/>
          </w:tcPr>
          <w:p w14:paraId="04022A9E" w14:textId="77777777" w:rsidR="00A27932" w:rsidRPr="00A27932" w:rsidRDefault="00A27932" w:rsidP="00A27932">
            <w:pPr>
              <w:widowControl w:val="0"/>
              <w:autoSpaceDE w:val="0"/>
              <w:autoSpaceDN w:val="0"/>
              <w:adjustRightInd w:val="0"/>
              <w:spacing w:line="360" w:lineRule="auto"/>
              <w:jc w:val="both"/>
            </w:pPr>
            <w:r w:rsidRPr="00A27932">
              <w:t>Price to book ratio</w:t>
            </w:r>
          </w:p>
        </w:tc>
        <w:tc>
          <w:tcPr>
            <w:tcW w:w="1803" w:type="dxa"/>
            <w:tcBorders>
              <w:top w:val="single" w:sz="4" w:space="0" w:color="auto"/>
              <w:left w:val="single" w:sz="4" w:space="0" w:color="auto"/>
              <w:bottom w:val="single" w:sz="4" w:space="0" w:color="auto"/>
              <w:right w:val="single" w:sz="4" w:space="0" w:color="auto"/>
            </w:tcBorders>
            <w:hideMark/>
          </w:tcPr>
          <w:p w14:paraId="622992EA" w14:textId="77777777" w:rsidR="00A27932" w:rsidRPr="00A27932" w:rsidRDefault="00A27932" w:rsidP="00A27932">
            <w:pPr>
              <w:widowControl w:val="0"/>
              <w:autoSpaceDE w:val="0"/>
              <w:autoSpaceDN w:val="0"/>
              <w:adjustRightInd w:val="0"/>
              <w:spacing w:line="360" w:lineRule="auto"/>
              <w:jc w:val="both"/>
            </w:pPr>
            <w:r w:rsidRPr="00A27932">
              <w:t>0.8258</w:t>
            </w:r>
          </w:p>
        </w:tc>
        <w:tc>
          <w:tcPr>
            <w:tcW w:w="1803" w:type="dxa"/>
            <w:tcBorders>
              <w:top w:val="single" w:sz="4" w:space="0" w:color="auto"/>
              <w:left w:val="single" w:sz="4" w:space="0" w:color="auto"/>
              <w:bottom w:val="single" w:sz="4" w:space="0" w:color="auto"/>
              <w:right w:val="single" w:sz="4" w:space="0" w:color="auto"/>
            </w:tcBorders>
          </w:tcPr>
          <w:p w14:paraId="6FF5F897" w14:textId="77777777" w:rsidR="00A27932" w:rsidRPr="00A27932" w:rsidRDefault="00A27932" w:rsidP="00A27932">
            <w:pPr>
              <w:widowControl w:val="0"/>
              <w:autoSpaceDE w:val="0"/>
              <w:autoSpaceDN w:val="0"/>
              <w:adjustRightInd w:val="0"/>
              <w:spacing w:line="360" w:lineRule="auto"/>
              <w:jc w:val="both"/>
            </w:pPr>
          </w:p>
        </w:tc>
        <w:tc>
          <w:tcPr>
            <w:tcW w:w="1803" w:type="dxa"/>
            <w:tcBorders>
              <w:top w:val="single" w:sz="4" w:space="0" w:color="auto"/>
              <w:left w:val="single" w:sz="4" w:space="0" w:color="auto"/>
              <w:bottom w:val="single" w:sz="4" w:space="0" w:color="auto"/>
              <w:right w:val="single" w:sz="4" w:space="0" w:color="auto"/>
            </w:tcBorders>
            <w:hideMark/>
          </w:tcPr>
          <w:p w14:paraId="4A4EB40A" w14:textId="77777777" w:rsidR="00A27932" w:rsidRPr="00A27932" w:rsidRDefault="00A27932" w:rsidP="00A27932">
            <w:pPr>
              <w:widowControl w:val="0"/>
              <w:autoSpaceDE w:val="0"/>
              <w:autoSpaceDN w:val="0"/>
              <w:adjustRightInd w:val="0"/>
              <w:spacing w:line="360" w:lineRule="auto"/>
              <w:jc w:val="both"/>
            </w:pPr>
            <w:r w:rsidRPr="00A27932">
              <w:t>Dividend</w:t>
            </w:r>
          </w:p>
        </w:tc>
        <w:tc>
          <w:tcPr>
            <w:tcW w:w="1804" w:type="dxa"/>
            <w:tcBorders>
              <w:top w:val="single" w:sz="4" w:space="0" w:color="auto"/>
              <w:left w:val="single" w:sz="4" w:space="0" w:color="auto"/>
              <w:bottom w:val="single" w:sz="4" w:space="0" w:color="auto"/>
              <w:right w:val="single" w:sz="4" w:space="0" w:color="auto"/>
            </w:tcBorders>
            <w:hideMark/>
          </w:tcPr>
          <w:p w14:paraId="485DAEC9" w14:textId="77777777" w:rsidR="00A27932" w:rsidRPr="00A27932" w:rsidRDefault="00A27932" w:rsidP="00A27932">
            <w:pPr>
              <w:widowControl w:val="0"/>
              <w:autoSpaceDE w:val="0"/>
              <w:autoSpaceDN w:val="0"/>
              <w:adjustRightInd w:val="0"/>
              <w:spacing w:line="360" w:lineRule="auto"/>
              <w:jc w:val="both"/>
            </w:pPr>
            <w:r w:rsidRPr="00A27932">
              <w:t>8.40%</w:t>
            </w:r>
          </w:p>
        </w:tc>
      </w:tr>
      <w:tr w:rsidR="00A27932" w:rsidRPr="00A27932" w14:paraId="5C98AA67" w14:textId="77777777" w:rsidTr="00A27932">
        <w:tc>
          <w:tcPr>
            <w:tcW w:w="1803" w:type="dxa"/>
            <w:tcBorders>
              <w:top w:val="single" w:sz="4" w:space="0" w:color="auto"/>
              <w:left w:val="single" w:sz="4" w:space="0" w:color="auto"/>
              <w:bottom w:val="single" w:sz="4" w:space="0" w:color="auto"/>
              <w:right w:val="single" w:sz="4" w:space="0" w:color="auto"/>
            </w:tcBorders>
            <w:hideMark/>
          </w:tcPr>
          <w:p w14:paraId="28AE934F" w14:textId="77777777" w:rsidR="00A27932" w:rsidRPr="00A27932" w:rsidRDefault="00A27932" w:rsidP="00A27932">
            <w:pPr>
              <w:widowControl w:val="0"/>
              <w:autoSpaceDE w:val="0"/>
              <w:autoSpaceDN w:val="0"/>
              <w:adjustRightInd w:val="0"/>
              <w:spacing w:line="360" w:lineRule="auto"/>
              <w:jc w:val="both"/>
            </w:pPr>
            <w:r w:rsidRPr="00A27932">
              <w:t>Price to sale Ratio</w:t>
            </w:r>
          </w:p>
        </w:tc>
        <w:tc>
          <w:tcPr>
            <w:tcW w:w="1803" w:type="dxa"/>
            <w:tcBorders>
              <w:top w:val="single" w:sz="4" w:space="0" w:color="auto"/>
              <w:left w:val="single" w:sz="4" w:space="0" w:color="auto"/>
              <w:bottom w:val="single" w:sz="4" w:space="0" w:color="auto"/>
              <w:right w:val="single" w:sz="4" w:space="0" w:color="auto"/>
            </w:tcBorders>
            <w:hideMark/>
          </w:tcPr>
          <w:p w14:paraId="4C560F39" w14:textId="77777777" w:rsidR="00A27932" w:rsidRPr="00A27932" w:rsidRDefault="00A27932" w:rsidP="00A27932">
            <w:pPr>
              <w:widowControl w:val="0"/>
              <w:autoSpaceDE w:val="0"/>
              <w:autoSpaceDN w:val="0"/>
              <w:adjustRightInd w:val="0"/>
              <w:spacing w:line="360" w:lineRule="auto"/>
              <w:jc w:val="both"/>
            </w:pPr>
            <w:r w:rsidRPr="00A27932">
              <w:t>1.6244</w:t>
            </w:r>
          </w:p>
        </w:tc>
        <w:tc>
          <w:tcPr>
            <w:tcW w:w="1803" w:type="dxa"/>
            <w:tcBorders>
              <w:top w:val="single" w:sz="4" w:space="0" w:color="auto"/>
              <w:left w:val="single" w:sz="4" w:space="0" w:color="auto"/>
              <w:bottom w:val="single" w:sz="4" w:space="0" w:color="auto"/>
              <w:right w:val="single" w:sz="4" w:space="0" w:color="auto"/>
            </w:tcBorders>
          </w:tcPr>
          <w:p w14:paraId="1C92C92A" w14:textId="77777777" w:rsidR="00A27932" w:rsidRPr="00A27932" w:rsidRDefault="00A27932" w:rsidP="00A27932">
            <w:pPr>
              <w:widowControl w:val="0"/>
              <w:autoSpaceDE w:val="0"/>
              <w:autoSpaceDN w:val="0"/>
              <w:adjustRightInd w:val="0"/>
              <w:spacing w:line="360" w:lineRule="auto"/>
              <w:jc w:val="both"/>
            </w:pPr>
          </w:p>
        </w:tc>
        <w:tc>
          <w:tcPr>
            <w:tcW w:w="1803" w:type="dxa"/>
            <w:tcBorders>
              <w:top w:val="single" w:sz="4" w:space="0" w:color="auto"/>
              <w:left w:val="single" w:sz="4" w:space="0" w:color="auto"/>
              <w:bottom w:val="single" w:sz="4" w:space="0" w:color="auto"/>
              <w:right w:val="single" w:sz="4" w:space="0" w:color="auto"/>
            </w:tcBorders>
            <w:hideMark/>
          </w:tcPr>
          <w:p w14:paraId="463C005D" w14:textId="77777777" w:rsidR="00A27932" w:rsidRPr="00A27932" w:rsidRDefault="00A27932" w:rsidP="00A27932">
            <w:pPr>
              <w:widowControl w:val="0"/>
              <w:autoSpaceDE w:val="0"/>
              <w:autoSpaceDN w:val="0"/>
              <w:adjustRightInd w:val="0"/>
              <w:spacing w:line="360" w:lineRule="auto"/>
              <w:jc w:val="both"/>
            </w:pPr>
            <w:r w:rsidRPr="00A27932">
              <w:t>Last dividend reported</w:t>
            </w:r>
          </w:p>
        </w:tc>
        <w:tc>
          <w:tcPr>
            <w:tcW w:w="1804" w:type="dxa"/>
            <w:tcBorders>
              <w:top w:val="single" w:sz="4" w:space="0" w:color="auto"/>
              <w:left w:val="single" w:sz="4" w:space="0" w:color="auto"/>
              <w:bottom w:val="single" w:sz="4" w:space="0" w:color="auto"/>
              <w:right w:val="single" w:sz="4" w:space="0" w:color="auto"/>
            </w:tcBorders>
            <w:hideMark/>
          </w:tcPr>
          <w:p w14:paraId="06E6BACB" w14:textId="77777777" w:rsidR="00A27932" w:rsidRPr="00A27932" w:rsidRDefault="00A27932" w:rsidP="00A27932">
            <w:pPr>
              <w:widowControl w:val="0"/>
              <w:autoSpaceDE w:val="0"/>
              <w:autoSpaceDN w:val="0"/>
              <w:adjustRightInd w:val="0"/>
              <w:spacing w:line="360" w:lineRule="auto"/>
              <w:jc w:val="both"/>
            </w:pPr>
            <w:r w:rsidRPr="00A27932">
              <w:t>0.2738</w:t>
            </w:r>
          </w:p>
        </w:tc>
      </w:tr>
    </w:tbl>
    <w:p w14:paraId="67CE1525" w14:textId="77777777" w:rsidR="00A27932" w:rsidRPr="00A27932" w:rsidRDefault="00A27932" w:rsidP="00A27932">
      <w:pPr>
        <w:widowControl w:val="0"/>
        <w:autoSpaceDE w:val="0"/>
        <w:autoSpaceDN w:val="0"/>
        <w:adjustRightInd w:val="0"/>
        <w:spacing w:line="360" w:lineRule="auto"/>
        <w:jc w:val="both"/>
      </w:pPr>
    </w:p>
    <w:p w14:paraId="680E2393" w14:textId="77777777" w:rsidR="00A27932" w:rsidRPr="00A27932" w:rsidRDefault="00A27932" w:rsidP="00A27932">
      <w:pPr>
        <w:widowControl w:val="0"/>
        <w:autoSpaceDE w:val="0"/>
        <w:autoSpaceDN w:val="0"/>
        <w:adjustRightInd w:val="0"/>
        <w:spacing w:line="360" w:lineRule="auto"/>
        <w:jc w:val="both"/>
      </w:pPr>
      <w:r w:rsidRPr="00A27932">
        <w:t xml:space="preserve"> Comparison in one day perfomance</w:t>
      </w:r>
    </w:p>
    <w:p w14:paraId="0177B744" w14:textId="77777777" w:rsidR="00A27932" w:rsidRPr="00A27932" w:rsidRDefault="00A27932" w:rsidP="00A27932">
      <w:pPr>
        <w:widowControl w:val="0"/>
        <w:autoSpaceDE w:val="0"/>
        <w:autoSpaceDN w:val="0"/>
        <w:adjustRightInd w:val="0"/>
        <w:spacing w:line="360" w:lineRule="auto"/>
        <w:jc w:val="both"/>
      </w:pPr>
      <w:r w:rsidRPr="00A27932">
        <w:t>ADIB:UH            -1.21%                               -2%</w:t>
      </w:r>
    </w:p>
    <w:p w14:paraId="68BE5EA7" w14:textId="77777777" w:rsidR="00A27932" w:rsidRPr="00A27932" w:rsidRDefault="00A27932" w:rsidP="00A27932">
      <w:pPr>
        <w:widowControl w:val="0"/>
        <w:autoSpaceDE w:val="0"/>
        <w:autoSpaceDN w:val="0"/>
        <w:adjustRightInd w:val="0"/>
        <w:spacing w:line="360" w:lineRule="auto"/>
        <w:jc w:val="both"/>
      </w:pPr>
      <w:r w:rsidRPr="00A27932">
        <w:t>Financials           +2.64%                              +5%</w:t>
      </w:r>
    </w:p>
    <w:p w14:paraId="6A421A49" w14:textId="77777777" w:rsidR="00A27932" w:rsidRPr="00A27932" w:rsidRDefault="00A27932" w:rsidP="00A27932">
      <w:pPr>
        <w:widowControl w:val="0"/>
        <w:autoSpaceDE w:val="0"/>
        <w:autoSpaceDN w:val="0"/>
        <w:adjustRightInd w:val="0"/>
        <w:spacing w:line="360" w:lineRule="auto"/>
        <w:jc w:val="both"/>
      </w:pPr>
      <w:r w:rsidRPr="00A27932">
        <w:lastRenderedPageBreak/>
        <w:t>Specialty Finance +4.10%                            +5%</w:t>
      </w:r>
    </w:p>
    <w:p w14:paraId="04F76439" w14:textId="77777777" w:rsidR="00A27932" w:rsidRPr="00A27932" w:rsidRDefault="00A27932" w:rsidP="00A27932">
      <w:pPr>
        <w:widowControl w:val="0"/>
        <w:autoSpaceDE w:val="0"/>
        <w:autoSpaceDN w:val="0"/>
        <w:adjustRightInd w:val="0"/>
        <w:spacing w:line="360" w:lineRule="auto"/>
        <w:jc w:val="both"/>
      </w:pPr>
    </w:p>
    <w:p w14:paraId="21CCA24B" w14:textId="77777777" w:rsidR="00A27932" w:rsidRPr="00A27932" w:rsidRDefault="00A27932" w:rsidP="00A27932">
      <w:pPr>
        <w:widowControl w:val="0"/>
        <w:autoSpaceDE w:val="0"/>
        <w:autoSpaceDN w:val="0"/>
        <w:adjustRightInd w:val="0"/>
        <w:spacing w:line="360" w:lineRule="auto"/>
        <w:jc w:val="both"/>
      </w:pPr>
    </w:p>
    <w:p w14:paraId="427AEAF1" w14:textId="77777777" w:rsidR="00A27932" w:rsidRPr="00A27932" w:rsidRDefault="00A27932" w:rsidP="00A27932">
      <w:pPr>
        <w:widowControl w:val="0"/>
        <w:autoSpaceDE w:val="0"/>
        <w:autoSpaceDN w:val="0"/>
        <w:adjustRightInd w:val="0"/>
        <w:spacing w:line="360" w:lineRule="auto"/>
        <w:jc w:val="both"/>
        <w:rPr>
          <w:b/>
          <w:noProof/>
        </w:rPr>
      </w:pPr>
      <w:r w:rsidRPr="00A27932">
        <w:rPr>
          <w:b/>
          <w:noProof/>
        </w:rPr>
        <w:t xml:space="preserve">Conculusion </w:t>
      </w:r>
    </w:p>
    <w:p w14:paraId="0093F546" w14:textId="77777777" w:rsidR="00A27932" w:rsidRPr="00A27932" w:rsidRDefault="00A27932" w:rsidP="00A27932">
      <w:pPr>
        <w:widowControl w:val="0"/>
        <w:autoSpaceDE w:val="0"/>
        <w:autoSpaceDN w:val="0"/>
        <w:adjustRightInd w:val="0"/>
        <w:spacing w:line="360" w:lineRule="auto"/>
        <w:jc w:val="both"/>
      </w:pPr>
      <w:r w:rsidRPr="00A27932">
        <w:rPr>
          <w:noProof/>
        </w:rPr>
        <w:t>Abu dhabi  islamic bank PJCS ( ADX:ADIB) has got very affordable shares and being the company listed under the ADX then perfomance is guranteed as they have been having a track of record of continous improvements. One most fascinating thing about the ADIB is that earlier on it had bought stock equivallent to 13% of the ompany market capitalisation.</w:t>
      </w:r>
      <w:bookmarkStart w:id="4" w:name="_GoBack"/>
      <w:bookmarkEnd w:id="4"/>
    </w:p>
    <w:p w14:paraId="47352A1D" w14:textId="77777777" w:rsidR="00A27932" w:rsidRPr="00A27932" w:rsidRDefault="00A27932" w:rsidP="00A27932">
      <w:pPr>
        <w:widowControl w:val="0"/>
        <w:autoSpaceDE w:val="0"/>
        <w:autoSpaceDN w:val="0"/>
        <w:adjustRightInd w:val="0"/>
        <w:spacing w:line="360" w:lineRule="auto"/>
        <w:jc w:val="both"/>
        <w:rPr>
          <w:rFonts w:ascii="Calibri" w:hAnsi="Calibri"/>
          <w:sz w:val="20"/>
          <w:szCs w:val="20"/>
        </w:rPr>
      </w:pPr>
    </w:p>
    <w:p w14:paraId="5D9D7067" w14:textId="77777777" w:rsidR="00A27932" w:rsidRPr="00A27932" w:rsidRDefault="00A27932" w:rsidP="00A27932">
      <w:pPr>
        <w:widowControl w:val="0"/>
        <w:autoSpaceDE w:val="0"/>
        <w:autoSpaceDN w:val="0"/>
        <w:adjustRightInd w:val="0"/>
        <w:spacing w:line="360" w:lineRule="auto"/>
        <w:jc w:val="both"/>
        <w:rPr>
          <w:rFonts w:ascii="Calibri" w:hAnsi="Calibri"/>
          <w:sz w:val="20"/>
          <w:szCs w:val="20"/>
        </w:rPr>
      </w:pPr>
    </w:p>
    <w:p w14:paraId="149584F9"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5A4F0FB0"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00EBB656"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573FCCBC"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5EE6D57F"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4CC3BF3A"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36F87B1E"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1A1E7965"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67DFA9D2"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478CC25A"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42F30A97"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55E56AA5"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15638F50"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1427B592"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318B6965"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37D76644"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68F6B883"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45A39608"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1849F11F"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43C4951D"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09556C07"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078D9620"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61FCEA48"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05CF699C"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128B3480"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571CE5CC"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64337735"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50A37FF3"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71E2AF12"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6036D61D" w14:textId="77777777" w:rsidR="00A27932" w:rsidRDefault="00A27932" w:rsidP="00A27932">
      <w:pPr>
        <w:widowControl w:val="0"/>
        <w:autoSpaceDE w:val="0"/>
        <w:autoSpaceDN w:val="0"/>
        <w:adjustRightInd w:val="0"/>
        <w:spacing w:line="360" w:lineRule="auto"/>
        <w:jc w:val="both"/>
        <w:rPr>
          <w:rFonts w:ascii="Calibri" w:hAnsi="Calibri"/>
          <w:sz w:val="20"/>
          <w:szCs w:val="20"/>
        </w:rPr>
      </w:pPr>
    </w:p>
    <w:p w14:paraId="7BEE0ADD" w14:textId="11CB7853" w:rsidR="00A27932" w:rsidRDefault="00A27932" w:rsidP="00A27932">
      <w:pPr>
        <w:widowControl w:val="0"/>
        <w:autoSpaceDE w:val="0"/>
        <w:autoSpaceDN w:val="0"/>
        <w:adjustRightInd w:val="0"/>
        <w:spacing w:line="360" w:lineRule="auto"/>
        <w:jc w:val="both"/>
      </w:pPr>
      <w:r>
        <w:t xml:space="preserve">References </w:t>
      </w:r>
    </w:p>
    <w:p w14:paraId="45D3C824" w14:textId="77777777" w:rsidR="00A27932" w:rsidRPr="00A27932" w:rsidRDefault="00A27932" w:rsidP="00A27932">
      <w:pPr>
        <w:widowControl w:val="0"/>
        <w:autoSpaceDE w:val="0"/>
        <w:autoSpaceDN w:val="0"/>
        <w:adjustRightInd w:val="0"/>
        <w:spacing w:line="360" w:lineRule="auto"/>
        <w:jc w:val="both"/>
      </w:pPr>
    </w:p>
    <w:p w14:paraId="7623AC41"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 xml:space="preserve">AlDarmaki, N., Mohamed, E.A., AlMansouri, N., Ahmed, I.E. and Zaki, N., 2016, March. Prediction of </w:t>
      </w:r>
    </w:p>
    <w:p w14:paraId="51943013"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3D05297C" w14:textId="77777777" w:rsidR="00A27932" w:rsidRPr="00A27932" w:rsidRDefault="00A27932" w:rsidP="00A27932">
      <w:pPr>
        <w:widowControl w:val="0"/>
        <w:autoSpaceDE w:val="0"/>
        <w:autoSpaceDN w:val="0"/>
        <w:adjustRightInd w:val="0"/>
        <w:spacing w:line="360" w:lineRule="auto"/>
        <w:jc w:val="both"/>
        <w:rPr>
          <w:rFonts w:ascii="Arial" w:hAnsi="Arial" w:cs="Arial"/>
          <w:i/>
          <w:iCs/>
          <w:color w:val="222222"/>
          <w:sz w:val="20"/>
          <w:szCs w:val="20"/>
          <w:shd w:val="clear" w:color="auto" w:fill="FFFFFF"/>
        </w:rPr>
      </w:pPr>
      <w:r w:rsidRPr="00A27932">
        <w:rPr>
          <w:rFonts w:ascii="Arial" w:hAnsi="Arial" w:cs="Arial"/>
          <w:color w:val="222222"/>
          <w:sz w:val="20"/>
          <w:szCs w:val="20"/>
          <w:shd w:val="clear" w:color="auto" w:fill="FFFFFF"/>
        </w:rPr>
        <w:t>the closing price in the Dubai financial market: A data mining approach. In </w:t>
      </w:r>
      <w:r w:rsidRPr="00A27932">
        <w:rPr>
          <w:rFonts w:ascii="Arial" w:hAnsi="Arial" w:cs="Arial"/>
          <w:i/>
          <w:iCs/>
          <w:color w:val="222222"/>
          <w:sz w:val="20"/>
          <w:szCs w:val="20"/>
          <w:shd w:val="clear" w:color="auto" w:fill="FFFFFF"/>
        </w:rPr>
        <w:t xml:space="preserve">2016 3rd MEC International </w:t>
      </w:r>
    </w:p>
    <w:p w14:paraId="0A15590F" w14:textId="77777777" w:rsidR="00A27932" w:rsidRPr="00A27932" w:rsidRDefault="00A27932" w:rsidP="00A27932">
      <w:pPr>
        <w:widowControl w:val="0"/>
        <w:autoSpaceDE w:val="0"/>
        <w:autoSpaceDN w:val="0"/>
        <w:adjustRightInd w:val="0"/>
        <w:spacing w:line="360" w:lineRule="auto"/>
        <w:jc w:val="both"/>
        <w:rPr>
          <w:rFonts w:ascii="Arial" w:hAnsi="Arial" w:cs="Arial"/>
          <w:i/>
          <w:iCs/>
          <w:color w:val="222222"/>
          <w:sz w:val="20"/>
          <w:szCs w:val="20"/>
          <w:shd w:val="clear" w:color="auto" w:fill="FFFFFF"/>
        </w:rPr>
      </w:pPr>
    </w:p>
    <w:p w14:paraId="70065436"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i/>
          <w:iCs/>
          <w:color w:val="222222"/>
          <w:sz w:val="20"/>
          <w:szCs w:val="20"/>
          <w:shd w:val="clear" w:color="auto" w:fill="FFFFFF"/>
        </w:rPr>
        <w:t>Conference on Big Data and Smart City (ICBDSC)</w:t>
      </w:r>
      <w:r w:rsidRPr="00A27932">
        <w:rPr>
          <w:rFonts w:ascii="Arial" w:hAnsi="Arial" w:cs="Arial"/>
          <w:color w:val="222222"/>
          <w:sz w:val="20"/>
          <w:szCs w:val="20"/>
          <w:shd w:val="clear" w:color="auto" w:fill="FFFFFF"/>
        </w:rPr>
        <w:t> (pp. 1-7). IEEE.</w:t>
      </w:r>
    </w:p>
    <w:p w14:paraId="3DD98B8F"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5DCBD52C" w14:textId="77777777" w:rsidR="00A27932" w:rsidRPr="00A27932" w:rsidRDefault="00A27932" w:rsidP="00A27932">
      <w:pPr>
        <w:widowControl w:val="0"/>
        <w:autoSpaceDE w:val="0"/>
        <w:autoSpaceDN w:val="0"/>
        <w:adjustRightInd w:val="0"/>
        <w:spacing w:line="360" w:lineRule="auto"/>
        <w:jc w:val="both"/>
        <w:rPr>
          <w:rFonts w:ascii="Arial" w:hAnsi="Arial" w:cs="Arial"/>
          <w:i/>
          <w:iCs/>
          <w:color w:val="222222"/>
          <w:sz w:val="20"/>
          <w:szCs w:val="20"/>
          <w:shd w:val="clear" w:color="auto" w:fill="FFFFFF"/>
        </w:rPr>
      </w:pPr>
      <w:r w:rsidRPr="00A27932">
        <w:rPr>
          <w:rFonts w:ascii="Arial" w:hAnsi="Arial" w:cs="Arial"/>
          <w:color w:val="222222"/>
          <w:sz w:val="20"/>
          <w:szCs w:val="20"/>
          <w:shd w:val="clear" w:color="auto" w:fill="FFFFFF"/>
        </w:rPr>
        <w:t>Elsokkary, N., Khan, F.S., La Torre, D., Humble, T.S. and Gottlieb, J., 2017. </w:t>
      </w:r>
      <w:r w:rsidRPr="00A27932">
        <w:rPr>
          <w:rFonts w:ascii="Arial" w:hAnsi="Arial" w:cs="Arial"/>
          <w:i/>
          <w:iCs/>
          <w:color w:val="222222"/>
          <w:sz w:val="20"/>
          <w:szCs w:val="20"/>
          <w:shd w:val="clear" w:color="auto" w:fill="FFFFFF"/>
        </w:rPr>
        <w:t xml:space="preserve"> The Case of Abu Dhabi</w:t>
      </w:r>
    </w:p>
    <w:p w14:paraId="6FBDEC39" w14:textId="77777777" w:rsidR="00A27932" w:rsidRPr="00A27932" w:rsidRDefault="00A27932" w:rsidP="00A27932">
      <w:pPr>
        <w:widowControl w:val="0"/>
        <w:autoSpaceDE w:val="0"/>
        <w:autoSpaceDN w:val="0"/>
        <w:adjustRightInd w:val="0"/>
        <w:spacing w:line="360" w:lineRule="auto"/>
        <w:jc w:val="both"/>
        <w:rPr>
          <w:rFonts w:ascii="Arial" w:hAnsi="Arial" w:cs="Arial"/>
          <w:i/>
          <w:iCs/>
          <w:color w:val="222222"/>
          <w:sz w:val="20"/>
          <w:szCs w:val="20"/>
          <w:shd w:val="clear" w:color="auto" w:fill="FFFFFF"/>
        </w:rPr>
      </w:pPr>
    </w:p>
    <w:p w14:paraId="641C2E7B"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i/>
          <w:iCs/>
          <w:color w:val="222222"/>
          <w:sz w:val="20"/>
          <w:szCs w:val="20"/>
          <w:shd w:val="clear" w:color="auto" w:fill="FFFFFF"/>
        </w:rPr>
        <w:t xml:space="preserve"> Securities Exchange</w:t>
      </w:r>
      <w:r w:rsidRPr="00A27932">
        <w:rPr>
          <w:rFonts w:ascii="Arial" w:hAnsi="Arial" w:cs="Arial"/>
          <w:color w:val="222222"/>
          <w:sz w:val="20"/>
          <w:szCs w:val="20"/>
          <w:shd w:val="clear" w:color="auto" w:fill="FFFFFF"/>
        </w:rPr>
        <w:t xml:space="preserve">. Oak </w:t>
      </w:r>
    </w:p>
    <w:p w14:paraId="2830148E"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57914654" w14:textId="77777777" w:rsidR="00A27932" w:rsidRPr="00A27932" w:rsidRDefault="00A27932" w:rsidP="00A27932">
      <w:pPr>
        <w:widowControl w:val="0"/>
        <w:autoSpaceDE w:val="0"/>
        <w:autoSpaceDN w:val="0"/>
        <w:adjustRightInd w:val="0"/>
        <w:spacing w:line="360" w:lineRule="auto"/>
        <w:jc w:val="both"/>
        <w:rPr>
          <w:rFonts w:ascii="Calibri" w:hAnsi="Calibri"/>
          <w:sz w:val="20"/>
          <w:szCs w:val="20"/>
        </w:rPr>
      </w:pPr>
      <w:r w:rsidRPr="00A27932">
        <w:rPr>
          <w:rFonts w:ascii="Arial" w:hAnsi="Arial" w:cs="Arial"/>
          <w:color w:val="222222"/>
          <w:sz w:val="20"/>
          <w:szCs w:val="20"/>
          <w:shd w:val="clear" w:color="auto" w:fill="FFFFFF"/>
        </w:rPr>
        <w:t>Ridge National Lab.(ORNL), Oak Ridge, TN (United States).</w:t>
      </w:r>
    </w:p>
    <w:p w14:paraId="7B43EDF0"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780BFFD4" w14:textId="77777777" w:rsidR="00A27932" w:rsidRPr="00A27932" w:rsidRDefault="00A27932" w:rsidP="00A27932">
      <w:pPr>
        <w:widowControl w:val="0"/>
        <w:autoSpaceDE w:val="0"/>
        <w:autoSpaceDN w:val="0"/>
        <w:adjustRightInd w:val="0"/>
        <w:spacing w:line="360" w:lineRule="auto"/>
        <w:jc w:val="both"/>
        <w:rPr>
          <w:rFonts w:ascii="Calibri" w:hAnsi="Calibri"/>
          <w:sz w:val="20"/>
          <w:szCs w:val="20"/>
        </w:rPr>
      </w:pPr>
    </w:p>
    <w:p w14:paraId="7F625ABA"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 xml:space="preserve">Salameh, H.M. and Alzubi, B., 2018. An investigation of stock market volatility: evidence from Dubai </w:t>
      </w:r>
    </w:p>
    <w:p w14:paraId="7B3F955E"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51522478"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financial market. </w:t>
      </w:r>
      <w:r w:rsidRPr="00A27932">
        <w:rPr>
          <w:rFonts w:ascii="Arial" w:hAnsi="Arial" w:cs="Arial"/>
          <w:i/>
          <w:iCs/>
          <w:color w:val="222222"/>
          <w:sz w:val="20"/>
          <w:szCs w:val="20"/>
          <w:shd w:val="clear" w:color="auto" w:fill="FFFFFF"/>
        </w:rPr>
        <w:t>Journal of Economic and Administrative Sciences</w:t>
      </w:r>
      <w:r w:rsidRPr="00A27932">
        <w:rPr>
          <w:rFonts w:ascii="Arial" w:hAnsi="Arial" w:cs="Arial"/>
          <w:color w:val="222222"/>
          <w:sz w:val="20"/>
          <w:szCs w:val="20"/>
          <w:shd w:val="clear" w:color="auto" w:fill="FFFFFF"/>
        </w:rPr>
        <w:t>.</w:t>
      </w:r>
    </w:p>
    <w:p w14:paraId="574DEA08" w14:textId="77777777" w:rsidR="00A27932" w:rsidRPr="00A27932" w:rsidRDefault="00A27932" w:rsidP="00A27932">
      <w:pPr>
        <w:widowControl w:val="0"/>
        <w:autoSpaceDE w:val="0"/>
        <w:autoSpaceDN w:val="0"/>
        <w:adjustRightInd w:val="0"/>
        <w:spacing w:line="360" w:lineRule="auto"/>
        <w:jc w:val="both"/>
        <w:rPr>
          <w:rFonts w:ascii="Calibri" w:hAnsi="Calibri"/>
          <w:sz w:val="20"/>
          <w:szCs w:val="20"/>
        </w:rPr>
      </w:pPr>
    </w:p>
    <w:p w14:paraId="631817F6"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 xml:space="preserve">Karathanasopoulos, A. and Osman, M., 2019. Forecasting the Dubai financial market with a </w:t>
      </w:r>
    </w:p>
    <w:p w14:paraId="2E5C1727"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1DF10465"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combination of momentum effect with a deep belief network. </w:t>
      </w:r>
      <w:r w:rsidRPr="00A27932">
        <w:rPr>
          <w:rFonts w:ascii="Arial" w:hAnsi="Arial" w:cs="Arial"/>
          <w:i/>
          <w:iCs/>
          <w:color w:val="222222"/>
          <w:sz w:val="20"/>
          <w:szCs w:val="20"/>
          <w:shd w:val="clear" w:color="auto" w:fill="FFFFFF"/>
        </w:rPr>
        <w:t>Journal of Forecasting</w:t>
      </w:r>
      <w:r w:rsidRPr="00A27932">
        <w:rPr>
          <w:rFonts w:ascii="Arial" w:hAnsi="Arial" w:cs="Arial"/>
          <w:color w:val="222222"/>
          <w:sz w:val="20"/>
          <w:szCs w:val="20"/>
          <w:shd w:val="clear" w:color="auto" w:fill="FFFFFF"/>
        </w:rPr>
        <w:t>, </w:t>
      </w:r>
      <w:r w:rsidRPr="00A27932">
        <w:rPr>
          <w:rFonts w:ascii="Arial" w:hAnsi="Arial" w:cs="Arial"/>
          <w:i/>
          <w:iCs/>
          <w:color w:val="222222"/>
          <w:sz w:val="20"/>
          <w:szCs w:val="20"/>
          <w:shd w:val="clear" w:color="auto" w:fill="FFFFFF"/>
        </w:rPr>
        <w:t>38</w:t>
      </w:r>
      <w:r w:rsidRPr="00A27932">
        <w:rPr>
          <w:rFonts w:ascii="Arial" w:hAnsi="Arial" w:cs="Arial"/>
          <w:color w:val="222222"/>
          <w:sz w:val="20"/>
          <w:szCs w:val="20"/>
          <w:shd w:val="clear" w:color="auto" w:fill="FFFFFF"/>
        </w:rPr>
        <w:t>(4), pp.346-353.</w:t>
      </w:r>
    </w:p>
    <w:p w14:paraId="42424645"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038EAC06"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Al Janabi, M.A., 2019. </w:t>
      </w:r>
      <w:r w:rsidRPr="00A27932">
        <w:rPr>
          <w:rFonts w:ascii="Arial" w:hAnsi="Arial" w:cs="Arial"/>
          <w:i/>
          <w:iCs/>
          <w:color w:val="222222"/>
          <w:sz w:val="20"/>
          <w:szCs w:val="20"/>
          <w:shd w:val="clear" w:color="auto" w:fill="FFFFFF"/>
        </w:rPr>
        <w:t>Dubai financial markets, trading of securities, and investment decision-making</w:t>
      </w:r>
      <w:r w:rsidRPr="00A27932">
        <w:rPr>
          <w:rFonts w:ascii="Arial" w:hAnsi="Arial" w:cs="Arial"/>
          <w:color w:val="222222"/>
          <w:sz w:val="20"/>
          <w:szCs w:val="20"/>
          <w:shd w:val="clear" w:color="auto" w:fill="FFFFFF"/>
        </w:rPr>
        <w:t xml:space="preserve">. </w:t>
      </w:r>
    </w:p>
    <w:p w14:paraId="136A0553"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655AFBE5"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SAGE Publications: SAGE Business Cases Originals.</w:t>
      </w:r>
    </w:p>
    <w:p w14:paraId="6E7E699D"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02A69BAF"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 xml:space="preserve">Awartani, B., and  Maghyereh, A.I., 2018. The factors influencing the decision to list on Abu Dhabi </w:t>
      </w:r>
    </w:p>
    <w:p w14:paraId="4CAF2E90"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779A27AC"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securities exchange. </w:t>
      </w:r>
      <w:r w:rsidRPr="00A27932">
        <w:rPr>
          <w:rFonts w:ascii="Arial" w:hAnsi="Arial" w:cs="Arial"/>
          <w:i/>
          <w:iCs/>
          <w:color w:val="222222"/>
          <w:sz w:val="20"/>
          <w:szCs w:val="20"/>
          <w:shd w:val="clear" w:color="auto" w:fill="FFFFFF"/>
        </w:rPr>
        <w:t>Journal of Behavioral and Experimental Finance</w:t>
      </w:r>
      <w:r w:rsidRPr="00A27932">
        <w:rPr>
          <w:rFonts w:ascii="Arial" w:hAnsi="Arial" w:cs="Arial"/>
          <w:color w:val="222222"/>
          <w:sz w:val="20"/>
          <w:szCs w:val="20"/>
          <w:shd w:val="clear" w:color="auto" w:fill="FFFFFF"/>
        </w:rPr>
        <w:t>, </w:t>
      </w:r>
      <w:r w:rsidRPr="00A27932">
        <w:rPr>
          <w:rFonts w:ascii="Arial" w:hAnsi="Arial" w:cs="Arial"/>
          <w:i/>
          <w:iCs/>
          <w:color w:val="222222"/>
          <w:sz w:val="20"/>
          <w:szCs w:val="20"/>
          <w:shd w:val="clear" w:color="auto" w:fill="FFFFFF"/>
        </w:rPr>
        <w:t>19</w:t>
      </w:r>
      <w:r w:rsidRPr="00A27932">
        <w:rPr>
          <w:rFonts w:ascii="Arial" w:hAnsi="Arial" w:cs="Arial"/>
          <w:color w:val="222222"/>
          <w:sz w:val="20"/>
          <w:szCs w:val="20"/>
          <w:shd w:val="clear" w:color="auto" w:fill="FFFFFF"/>
        </w:rPr>
        <w:t>, pp.89-103.</w:t>
      </w:r>
    </w:p>
    <w:p w14:paraId="6FF0EEC3"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0904A3A8"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 xml:space="preserve">Muqattash, R.S., 2017. Determinants affecting the decision to outsource the internal audit function in </w:t>
      </w:r>
    </w:p>
    <w:p w14:paraId="12071E67"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36261C00"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Abu Dhabi Stock Exchange. </w:t>
      </w:r>
      <w:r w:rsidRPr="00A27932">
        <w:rPr>
          <w:rFonts w:ascii="Arial" w:hAnsi="Arial" w:cs="Arial"/>
          <w:i/>
          <w:iCs/>
          <w:color w:val="222222"/>
          <w:sz w:val="20"/>
          <w:szCs w:val="20"/>
          <w:shd w:val="clear" w:color="auto" w:fill="FFFFFF"/>
        </w:rPr>
        <w:t>International Journal of Economics and Business Research</w:t>
      </w:r>
      <w:r w:rsidRPr="00A27932">
        <w:rPr>
          <w:rFonts w:ascii="Arial" w:hAnsi="Arial" w:cs="Arial"/>
          <w:color w:val="222222"/>
          <w:sz w:val="20"/>
          <w:szCs w:val="20"/>
          <w:shd w:val="clear" w:color="auto" w:fill="FFFFFF"/>
        </w:rPr>
        <w:t>, </w:t>
      </w:r>
      <w:r w:rsidRPr="00A27932">
        <w:rPr>
          <w:rFonts w:ascii="Arial" w:hAnsi="Arial" w:cs="Arial"/>
          <w:i/>
          <w:iCs/>
          <w:color w:val="222222"/>
          <w:sz w:val="20"/>
          <w:szCs w:val="20"/>
          <w:shd w:val="clear" w:color="auto" w:fill="FFFFFF"/>
        </w:rPr>
        <w:t>13</w:t>
      </w:r>
      <w:r w:rsidRPr="00A27932">
        <w:rPr>
          <w:rFonts w:ascii="Arial" w:hAnsi="Arial" w:cs="Arial"/>
          <w:color w:val="222222"/>
          <w:sz w:val="20"/>
          <w:szCs w:val="20"/>
          <w:shd w:val="clear" w:color="auto" w:fill="FFFFFF"/>
        </w:rPr>
        <w:t>(4), pp.317-</w:t>
      </w:r>
    </w:p>
    <w:p w14:paraId="6F0D09E2"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p>
    <w:p w14:paraId="624113CB" w14:textId="77777777" w:rsidR="00A27932" w:rsidRPr="00A27932" w:rsidRDefault="00A27932" w:rsidP="00A27932">
      <w:pPr>
        <w:widowControl w:val="0"/>
        <w:autoSpaceDE w:val="0"/>
        <w:autoSpaceDN w:val="0"/>
        <w:adjustRightInd w:val="0"/>
        <w:spacing w:line="360" w:lineRule="auto"/>
        <w:jc w:val="both"/>
        <w:rPr>
          <w:rFonts w:ascii="Arial" w:hAnsi="Arial" w:cs="Arial"/>
          <w:color w:val="222222"/>
          <w:sz w:val="20"/>
          <w:szCs w:val="20"/>
          <w:shd w:val="clear" w:color="auto" w:fill="FFFFFF"/>
        </w:rPr>
      </w:pPr>
      <w:r w:rsidRPr="00A27932">
        <w:rPr>
          <w:rFonts w:ascii="Arial" w:hAnsi="Arial" w:cs="Arial"/>
          <w:color w:val="222222"/>
          <w:sz w:val="20"/>
          <w:szCs w:val="20"/>
          <w:shd w:val="clear" w:color="auto" w:fill="FFFFFF"/>
        </w:rPr>
        <w:t>334.</w:t>
      </w:r>
    </w:p>
    <w:p w14:paraId="63FA0FB6" w14:textId="77777777" w:rsidR="003476F8" w:rsidRPr="00A27932" w:rsidRDefault="003476F8" w:rsidP="00DF310E">
      <w:pPr>
        <w:pStyle w:val="ListParagraph"/>
        <w:spacing w:line="360" w:lineRule="auto"/>
      </w:pPr>
    </w:p>
    <w:sectPr w:rsidR="003476F8" w:rsidRPr="00A27932" w:rsidSect="00907834">
      <w:headerReference w:type="default" r:id="rId9"/>
      <w:footerReference w:type="default" r:id="rId10"/>
      <w:pgSz w:w="11907" w:h="16840" w:code="9"/>
      <w:pgMar w:top="1125" w:right="1467" w:bottom="249" w:left="1077" w:header="703" w:footer="607" w:gutter="0"/>
      <w:pgBorders w:offsetFrom="page">
        <w:top w:val="thinThickThinSmallGap" w:sz="18" w:space="24" w:color="auto"/>
        <w:left w:val="thinThickThinSmallGap" w:sz="18" w:space="24" w:color="auto"/>
        <w:bottom w:val="thinThickThinSmallGap" w:sz="18" w:space="24" w:color="auto"/>
        <w:right w:val="thinThickThinSmallGap"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DFD54" w14:textId="77777777" w:rsidR="00BE4A30" w:rsidRDefault="00BE4A30" w:rsidP="00C27583">
      <w:r>
        <w:separator/>
      </w:r>
    </w:p>
  </w:endnote>
  <w:endnote w:type="continuationSeparator" w:id="0">
    <w:p w14:paraId="559B2F3C" w14:textId="77777777" w:rsidR="00BE4A30" w:rsidRDefault="00BE4A30" w:rsidP="00C27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0130"/>
      <w:docPartObj>
        <w:docPartGallery w:val="Page Numbers (Bottom of Page)"/>
        <w:docPartUnique/>
      </w:docPartObj>
    </w:sdtPr>
    <w:sdtEndPr/>
    <w:sdtContent>
      <w:p w14:paraId="3F9795E3" w14:textId="6E5AD938" w:rsidR="000F74EE" w:rsidRDefault="00C41F52">
        <w:pPr>
          <w:pStyle w:val="Footer"/>
          <w:jc w:val="right"/>
        </w:pPr>
        <w:r>
          <w:fldChar w:fldCharType="begin"/>
        </w:r>
        <w:r>
          <w:instrText xml:space="preserve"> PAGE   \* MERGEFORMAT </w:instrText>
        </w:r>
        <w:r>
          <w:fldChar w:fldCharType="separate"/>
        </w:r>
        <w:r w:rsidR="00A27932">
          <w:rPr>
            <w:noProof/>
          </w:rPr>
          <w:t>7</w:t>
        </w:r>
        <w:r>
          <w:rPr>
            <w:noProof/>
          </w:rPr>
          <w:fldChar w:fldCharType="end"/>
        </w:r>
      </w:p>
    </w:sdtContent>
  </w:sdt>
  <w:p w14:paraId="355DFC62" w14:textId="77777777" w:rsidR="000F74EE" w:rsidRDefault="000F7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92FAA" w14:textId="77777777" w:rsidR="00BE4A30" w:rsidRDefault="00BE4A30" w:rsidP="00C27583">
      <w:bookmarkStart w:id="0" w:name="_Hlk38352984"/>
      <w:bookmarkEnd w:id="0"/>
      <w:r>
        <w:separator/>
      </w:r>
    </w:p>
  </w:footnote>
  <w:footnote w:type="continuationSeparator" w:id="0">
    <w:p w14:paraId="37397D7A" w14:textId="77777777" w:rsidR="00BE4A30" w:rsidRDefault="00BE4A30" w:rsidP="00C27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D01FC" w14:textId="605C8B6A" w:rsidR="008729E6" w:rsidRDefault="008729E6" w:rsidP="00C27583">
    <w:pPr>
      <w:pStyle w:val="Header"/>
      <w:jc w:val="center"/>
    </w:pPr>
    <w:r>
      <w:rPr>
        <w:rFonts w:hint="cs"/>
        <w:noProof/>
        <w:sz w:val="28"/>
        <w:szCs w:val="28"/>
      </w:rPr>
      <w:drawing>
        <wp:inline distT="0" distB="0" distL="0" distR="0" wp14:anchorId="3AB21705" wp14:editId="5D2A001E">
          <wp:extent cx="3438525" cy="485775"/>
          <wp:effectExtent l="0" t="0" r="9525" b="9525"/>
          <wp:docPr id="1" name="Picture 1" descr="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8525" cy="485775"/>
                  </a:xfrm>
                  <a:prstGeom prst="rect">
                    <a:avLst/>
                  </a:prstGeom>
                  <a:noFill/>
                  <a:ln>
                    <a:noFill/>
                  </a:ln>
                </pic:spPr>
              </pic:pic>
            </a:graphicData>
          </a:graphic>
        </wp:inline>
      </w:drawing>
    </w:r>
  </w:p>
  <w:tbl>
    <w:tblPr>
      <w:tblW w:w="10529" w:type="dxa"/>
      <w:jc w:val="center"/>
      <w:tblBorders>
        <w:top w:val="single" w:sz="4" w:space="0" w:color="auto"/>
        <w:left w:val="single" w:sz="4" w:space="0" w:color="auto"/>
        <w:bottom w:val="single" w:sz="4" w:space="0" w:color="auto"/>
        <w:right w:val="single" w:sz="4" w:space="0" w:color="auto"/>
      </w:tblBorders>
      <w:tblCellMar>
        <w:top w:w="14" w:type="dxa"/>
        <w:left w:w="115" w:type="dxa"/>
        <w:bottom w:w="14" w:type="dxa"/>
        <w:right w:w="115" w:type="dxa"/>
      </w:tblCellMar>
      <w:tblLook w:val="04A0" w:firstRow="1" w:lastRow="0" w:firstColumn="1" w:lastColumn="0" w:noHBand="0" w:noVBand="1"/>
    </w:tblPr>
    <w:tblGrid>
      <w:gridCol w:w="3508"/>
      <w:gridCol w:w="3508"/>
      <w:gridCol w:w="3513"/>
    </w:tblGrid>
    <w:tr w:rsidR="008729E6" w:rsidRPr="004500FC" w14:paraId="6C73BF71" w14:textId="77777777" w:rsidTr="008729E6">
      <w:trPr>
        <w:trHeight w:val="165"/>
        <w:jc w:val="center"/>
      </w:trPr>
      <w:tc>
        <w:tcPr>
          <w:tcW w:w="3508" w:type="dxa"/>
          <w:tcBorders>
            <w:top w:val="single" w:sz="4" w:space="0" w:color="808080"/>
            <w:left w:val="single" w:sz="4" w:space="0" w:color="808080"/>
            <w:bottom w:val="single" w:sz="4" w:space="0" w:color="808080"/>
          </w:tcBorders>
          <w:shd w:val="clear" w:color="auto" w:fill="D9D9D9"/>
          <w:vAlign w:val="center"/>
        </w:tcPr>
        <w:p w14:paraId="66634448" w14:textId="77777777" w:rsidR="008729E6" w:rsidRPr="00360D69" w:rsidRDefault="008729E6" w:rsidP="008729E6">
          <w:pPr>
            <w:pStyle w:val="Header"/>
            <w:rPr>
              <w:rFonts w:asciiTheme="minorHAnsi" w:hAnsiTheme="minorHAnsi" w:cstheme="minorHAnsi"/>
              <w:b/>
              <w:bCs/>
              <w:color w:val="404040"/>
              <w:sz w:val="16"/>
              <w:szCs w:val="16"/>
            </w:rPr>
          </w:pPr>
          <w:r w:rsidRPr="00360D69">
            <w:rPr>
              <w:rFonts w:asciiTheme="minorHAnsi" w:hAnsiTheme="minorHAnsi" w:cstheme="minorHAnsi"/>
              <w:color w:val="404040"/>
              <w:sz w:val="16"/>
              <w:szCs w:val="16"/>
            </w:rPr>
            <w:t>Issue 9/10/2014</w:t>
          </w:r>
        </w:p>
      </w:tc>
      <w:tc>
        <w:tcPr>
          <w:tcW w:w="3508" w:type="dxa"/>
          <w:tcBorders>
            <w:top w:val="single" w:sz="4" w:space="0" w:color="808080"/>
            <w:bottom w:val="single" w:sz="4" w:space="0" w:color="808080"/>
          </w:tcBorders>
          <w:shd w:val="clear" w:color="auto" w:fill="D9D9D9"/>
          <w:vAlign w:val="center"/>
        </w:tcPr>
        <w:p w14:paraId="093F706D" w14:textId="77777777" w:rsidR="008729E6" w:rsidRPr="00360D69" w:rsidRDefault="008729E6" w:rsidP="008729E6">
          <w:pPr>
            <w:pStyle w:val="Header"/>
            <w:jc w:val="center"/>
            <w:rPr>
              <w:rFonts w:asciiTheme="minorHAnsi" w:hAnsiTheme="minorHAnsi" w:cstheme="minorHAnsi"/>
              <w:b/>
              <w:bCs/>
              <w:color w:val="404040"/>
              <w:sz w:val="16"/>
              <w:szCs w:val="16"/>
            </w:rPr>
          </w:pPr>
          <w:r w:rsidRPr="00360D69">
            <w:rPr>
              <w:rFonts w:asciiTheme="minorHAnsi" w:hAnsiTheme="minorHAnsi" w:cstheme="minorHAnsi"/>
              <w:color w:val="404040"/>
              <w:sz w:val="16"/>
              <w:szCs w:val="16"/>
            </w:rPr>
            <w:t>Revision Date 25/06/2018</w:t>
          </w:r>
        </w:p>
      </w:tc>
      <w:tc>
        <w:tcPr>
          <w:tcW w:w="3511" w:type="dxa"/>
          <w:tcBorders>
            <w:top w:val="single" w:sz="4" w:space="0" w:color="808080"/>
            <w:left w:val="nil"/>
            <w:bottom w:val="single" w:sz="4" w:space="0" w:color="808080"/>
            <w:right w:val="single" w:sz="4" w:space="0" w:color="808080"/>
          </w:tcBorders>
          <w:shd w:val="clear" w:color="auto" w:fill="D9D9D9"/>
          <w:vAlign w:val="center"/>
        </w:tcPr>
        <w:p w14:paraId="61C8B926" w14:textId="77777777" w:rsidR="008729E6" w:rsidRPr="00360D69" w:rsidRDefault="008729E6" w:rsidP="008729E6">
          <w:pPr>
            <w:pStyle w:val="Header"/>
            <w:jc w:val="right"/>
            <w:rPr>
              <w:rFonts w:asciiTheme="minorHAnsi" w:hAnsiTheme="minorHAnsi" w:cstheme="minorHAnsi"/>
              <w:color w:val="404040"/>
              <w:sz w:val="16"/>
              <w:szCs w:val="16"/>
            </w:rPr>
          </w:pPr>
          <w:r>
            <w:rPr>
              <w:rFonts w:asciiTheme="minorHAnsi" w:hAnsiTheme="minorHAnsi" w:cstheme="minorHAnsi"/>
              <w:color w:val="404040"/>
              <w:sz w:val="16"/>
              <w:szCs w:val="16"/>
            </w:rPr>
            <w:t xml:space="preserve">Ref </w:t>
          </w:r>
          <w:r w:rsidRPr="00360D69">
            <w:rPr>
              <w:rFonts w:asciiTheme="minorHAnsi" w:hAnsiTheme="minorHAnsi" w:cstheme="minorHAnsi"/>
              <w:color w:val="404040"/>
              <w:sz w:val="16"/>
              <w:szCs w:val="16"/>
            </w:rPr>
            <w:t xml:space="preserve"> No. ECT-ACAF-ACAFO-FRM.011</w:t>
          </w:r>
        </w:p>
      </w:tc>
    </w:tr>
    <w:tr w:rsidR="008729E6" w:rsidRPr="004500FC" w14:paraId="01A50154" w14:textId="77777777" w:rsidTr="008729E6">
      <w:trPr>
        <w:trHeight w:val="455"/>
        <w:jc w:val="center"/>
      </w:trPr>
      <w:tc>
        <w:tcPr>
          <w:tcW w:w="10529" w:type="dxa"/>
          <w:gridSpan w:val="3"/>
          <w:tcBorders>
            <w:top w:val="single" w:sz="4" w:space="0" w:color="808080"/>
            <w:left w:val="single" w:sz="4" w:space="0" w:color="A6A6A6"/>
            <w:bottom w:val="single" w:sz="4" w:space="0" w:color="A6A6A6"/>
            <w:right w:val="single" w:sz="4" w:space="0" w:color="A6A6A6"/>
          </w:tcBorders>
          <w:vAlign w:val="bottom"/>
        </w:tcPr>
        <w:p w14:paraId="2F844DAF" w14:textId="781E714A" w:rsidR="008729E6" w:rsidRPr="00360D69" w:rsidRDefault="000E3D06" w:rsidP="008729E6">
          <w:pPr>
            <w:jc w:val="center"/>
            <w:rPr>
              <w:rFonts w:asciiTheme="minorHAnsi" w:hAnsiTheme="minorHAnsi" w:cstheme="minorHAnsi"/>
              <w:b/>
              <w:bCs/>
            </w:rPr>
          </w:pPr>
          <w:r>
            <w:rPr>
              <w:rFonts w:asciiTheme="minorHAnsi" w:hAnsiTheme="minorHAnsi" w:cstheme="minorHAnsi"/>
              <w:b/>
              <w:sz w:val="32"/>
              <w:szCs w:val="32"/>
            </w:rPr>
            <w:t xml:space="preserve">Individual </w:t>
          </w:r>
          <w:r w:rsidR="008729E6" w:rsidRPr="00360D69">
            <w:rPr>
              <w:rFonts w:asciiTheme="minorHAnsi" w:hAnsiTheme="minorHAnsi" w:cstheme="minorHAnsi"/>
              <w:b/>
              <w:sz w:val="32"/>
              <w:szCs w:val="32"/>
            </w:rPr>
            <w:t xml:space="preserve">Project </w:t>
          </w:r>
        </w:p>
      </w:tc>
    </w:tr>
  </w:tbl>
  <w:p w14:paraId="15E81FFF" w14:textId="77777777" w:rsidR="00275EE4" w:rsidRDefault="00275EE4" w:rsidP="00C275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92337"/>
    <w:multiLevelType w:val="hybridMultilevel"/>
    <w:tmpl w:val="FA58A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F1AB1"/>
    <w:multiLevelType w:val="hybridMultilevel"/>
    <w:tmpl w:val="83FE36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FFB391A"/>
    <w:multiLevelType w:val="hybridMultilevel"/>
    <w:tmpl w:val="DA406A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779B8"/>
    <w:multiLevelType w:val="hybridMultilevel"/>
    <w:tmpl w:val="9D0E8C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E44F57"/>
    <w:multiLevelType w:val="hybridMultilevel"/>
    <w:tmpl w:val="562431A0"/>
    <w:lvl w:ilvl="0" w:tplc="DF0A0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D2CD9"/>
    <w:multiLevelType w:val="hybridMultilevel"/>
    <w:tmpl w:val="926E03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A72129"/>
    <w:multiLevelType w:val="hybridMultilevel"/>
    <w:tmpl w:val="91306402"/>
    <w:lvl w:ilvl="0" w:tplc="73365C36">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9D088B"/>
    <w:multiLevelType w:val="hybridMultilevel"/>
    <w:tmpl w:val="A22C14FA"/>
    <w:lvl w:ilvl="0" w:tplc="0409000B">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8" w15:restartNumberingAfterBreak="0">
    <w:nsid w:val="1F330CF6"/>
    <w:multiLevelType w:val="hybridMultilevel"/>
    <w:tmpl w:val="CEA89C10"/>
    <w:lvl w:ilvl="0" w:tplc="7684192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32134A"/>
    <w:multiLevelType w:val="hybridMultilevel"/>
    <w:tmpl w:val="86304090"/>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E452FB"/>
    <w:multiLevelType w:val="hybridMultilevel"/>
    <w:tmpl w:val="3932B4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50086E"/>
    <w:multiLevelType w:val="hybridMultilevel"/>
    <w:tmpl w:val="499402A6"/>
    <w:lvl w:ilvl="0" w:tplc="D976FD0E">
      <w:start w:val="1"/>
      <w:numFmt w:val="decimal"/>
      <w:lvlText w:val="%1."/>
      <w:lvlJc w:val="left"/>
      <w:pPr>
        <w:tabs>
          <w:tab w:val="num" w:pos="1080"/>
        </w:tabs>
        <w:ind w:left="1080" w:hanging="360"/>
      </w:pPr>
      <w:rPr>
        <w:rFonts w:cs="Times New Roman"/>
        <w:b/>
        <w:bCs/>
        <w:color w:val="auto"/>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2" w15:restartNumberingAfterBreak="0">
    <w:nsid w:val="32423EC0"/>
    <w:multiLevelType w:val="hybridMultilevel"/>
    <w:tmpl w:val="003E9A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090F67"/>
    <w:multiLevelType w:val="hybridMultilevel"/>
    <w:tmpl w:val="836E70BE"/>
    <w:lvl w:ilvl="0" w:tplc="39361C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BD6D42"/>
    <w:multiLevelType w:val="hybridMultilevel"/>
    <w:tmpl w:val="E8F22DEE"/>
    <w:lvl w:ilvl="0" w:tplc="71569470">
      <w:start w:val="1"/>
      <w:numFmt w:val="decimal"/>
      <w:lvlText w:val="%1-"/>
      <w:lvlJc w:val="left"/>
      <w:pPr>
        <w:ind w:left="720" w:hanging="360"/>
      </w:pPr>
      <w:rPr>
        <w:rFonts w:cs="Calibri"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971CB1"/>
    <w:multiLevelType w:val="multilevel"/>
    <w:tmpl w:val="DA466B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3A894FDA"/>
    <w:multiLevelType w:val="hybridMultilevel"/>
    <w:tmpl w:val="A962AAE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3F5C76F4"/>
    <w:multiLevelType w:val="hybridMultilevel"/>
    <w:tmpl w:val="77628B5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1E76B97"/>
    <w:multiLevelType w:val="hybridMultilevel"/>
    <w:tmpl w:val="A962AAE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2C35C1E"/>
    <w:multiLevelType w:val="hybridMultilevel"/>
    <w:tmpl w:val="A962AAE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52D57D97"/>
    <w:multiLevelType w:val="hybridMultilevel"/>
    <w:tmpl w:val="DC100B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E959CE"/>
    <w:multiLevelType w:val="hybridMultilevel"/>
    <w:tmpl w:val="C4C07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DE7276"/>
    <w:multiLevelType w:val="hybridMultilevel"/>
    <w:tmpl w:val="CE6A4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8979A5"/>
    <w:multiLevelType w:val="hybridMultilevel"/>
    <w:tmpl w:val="E6D41AF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2993992"/>
    <w:multiLevelType w:val="hybridMultilevel"/>
    <w:tmpl w:val="334654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A82393"/>
    <w:multiLevelType w:val="hybridMultilevel"/>
    <w:tmpl w:val="49D4B20E"/>
    <w:lvl w:ilvl="0" w:tplc="FD50720A">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786B97"/>
    <w:multiLevelType w:val="hybridMultilevel"/>
    <w:tmpl w:val="A91E761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24"/>
  </w:num>
  <w:num w:numId="3">
    <w:abstractNumId w:val="12"/>
  </w:num>
  <w:num w:numId="4">
    <w:abstractNumId w:val="20"/>
  </w:num>
  <w:num w:numId="5">
    <w:abstractNumId w:val="3"/>
  </w:num>
  <w:num w:numId="6">
    <w:abstractNumId w:val="17"/>
  </w:num>
  <w:num w:numId="7">
    <w:abstractNumId w:val="9"/>
  </w:num>
  <w:num w:numId="8">
    <w:abstractNumId w:val="18"/>
  </w:num>
  <w:num w:numId="9">
    <w:abstractNumId w:val="19"/>
  </w:num>
  <w:num w:numId="10">
    <w:abstractNumId w:val="16"/>
  </w:num>
  <w:num w:numId="11">
    <w:abstractNumId w:val="11"/>
  </w:num>
  <w:num w:numId="12">
    <w:abstractNumId w:val="21"/>
  </w:num>
  <w:num w:numId="13">
    <w:abstractNumId w:val="0"/>
  </w:num>
  <w:num w:numId="14">
    <w:abstractNumId w:val="7"/>
  </w:num>
  <w:num w:numId="15">
    <w:abstractNumId w:val="5"/>
  </w:num>
  <w:num w:numId="16">
    <w:abstractNumId w:val="2"/>
  </w:num>
  <w:num w:numId="17">
    <w:abstractNumId w:val="6"/>
  </w:num>
  <w:num w:numId="18">
    <w:abstractNumId w:val="13"/>
  </w:num>
  <w:num w:numId="19">
    <w:abstractNumId w:val="14"/>
  </w:num>
  <w:num w:numId="20">
    <w:abstractNumId w:val="26"/>
  </w:num>
  <w:num w:numId="21">
    <w:abstractNumId w:val="10"/>
  </w:num>
  <w:num w:numId="22">
    <w:abstractNumId w:val="22"/>
  </w:num>
  <w:num w:numId="23">
    <w:abstractNumId w:val="4"/>
  </w:num>
  <w:num w:numId="24">
    <w:abstractNumId w:val="8"/>
  </w:num>
  <w:num w:numId="25">
    <w:abstractNumId w:val="25"/>
  </w:num>
  <w:num w:numId="26">
    <w:abstractNumId w:val="23"/>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D0B"/>
    <w:rsid w:val="00005FF5"/>
    <w:rsid w:val="00014E6F"/>
    <w:rsid w:val="00080285"/>
    <w:rsid w:val="000878DC"/>
    <w:rsid w:val="000A16A2"/>
    <w:rsid w:val="000E3D06"/>
    <w:rsid w:val="000E71D5"/>
    <w:rsid w:val="000F317C"/>
    <w:rsid w:val="000F74EE"/>
    <w:rsid w:val="00101431"/>
    <w:rsid w:val="001327B4"/>
    <w:rsid w:val="00142897"/>
    <w:rsid w:val="00145210"/>
    <w:rsid w:val="00164411"/>
    <w:rsid w:val="0016599E"/>
    <w:rsid w:val="00195630"/>
    <w:rsid w:val="001A2631"/>
    <w:rsid w:val="001C08F5"/>
    <w:rsid w:val="001C0ECD"/>
    <w:rsid w:val="001C23DA"/>
    <w:rsid w:val="001D1F2A"/>
    <w:rsid w:val="001F6CE9"/>
    <w:rsid w:val="001F7F54"/>
    <w:rsid w:val="002115FF"/>
    <w:rsid w:val="00256ED8"/>
    <w:rsid w:val="002606A1"/>
    <w:rsid w:val="00267E3D"/>
    <w:rsid w:val="00275EE4"/>
    <w:rsid w:val="00286BD5"/>
    <w:rsid w:val="00290A1B"/>
    <w:rsid w:val="002D282D"/>
    <w:rsid w:val="002E07FA"/>
    <w:rsid w:val="00303A88"/>
    <w:rsid w:val="00310DDF"/>
    <w:rsid w:val="003167FA"/>
    <w:rsid w:val="00332262"/>
    <w:rsid w:val="00332CC6"/>
    <w:rsid w:val="003476F8"/>
    <w:rsid w:val="0035217E"/>
    <w:rsid w:val="00356CB6"/>
    <w:rsid w:val="003610B3"/>
    <w:rsid w:val="00367086"/>
    <w:rsid w:val="00383D58"/>
    <w:rsid w:val="0038712E"/>
    <w:rsid w:val="003912C3"/>
    <w:rsid w:val="003B2CE7"/>
    <w:rsid w:val="003D4FD6"/>
    <w:rsid w:val="003F67F0"/>
    <w:rsid w:val="003F7AF4"/>
    <w:rsid w:val="0040296B"/>
    <w:rsid w:val="00436D06"/>
    <w:rsid w:val="00436F6B"/>
    <w:rsid w:val="00442614"/>
    <w:rsid w:val="00451C74"/>
    <w:rsid w:val="0045481C"/>
    <w:rsid w:val="00471D3E"/>
    <w:rsid w:val="00480EC2"/>
    <w:rsid w:val="0048761C"/>
    <w:rsid w:val="004A0339"/>
    <w:rsid w:val="004C4C13"/>
    <w:rsid w:val="004D38A5"/>
    <w:rsid w:val="004D7AF7"/>
    <w:rsid w:val="004E5E83"/>
    <w:rsid w:val="004F523B"/>
    <w:rsid w:val="00523254"/>
    <w:rsid w:val="005266BE"/>
    <w:rsid w:val="0054383D"/>
    <w:rsid w:val="00543A48"/>
    <w:rsid w:val="005767C0"/>
    <w:rsid w:val="005913C9"/>
    <w:rsid w:val="005951E8"/>
    <w:rsid w:val="005C41E6"/>
    <w:rsid w:val="00613BE5"/>
    <w:rsid w:val="006254ED"/>
    <w:rsid w:val="0063404B"/>
    <w:rsid w:val="00641BFC"/>
    <w:rsid w:val="0065538D"/>
    <w:rsid w:val="0065642F"/>
    <w:rsid w:val="00671528"/>
    <w:rsid w:val="00685557"/>
    <w:rsid w:val="00686144"/>
    <w:rsid w:val="0068788A"/>
    <w:rsid w:val="006A263E"/>
    <w:rsid w:val="006B7FCF"/>
    <w:rsid w:val="006C0588"/>
    <w:rsid w:val="006E4AAA"/>
    <w:rsid w:val="006F7FC6"/>
    <w:rsid w:val="00705DD2"/>
    <w:rsid w:val="00710EDC"/>
    <w:rsid w:val="00736A7D"/>
    <w:rsid w:val="00794F74"/>
    <w:rsid w:val="007B3AC8"/>
    <w:rsid w:val="007B6979"/>
    <w:rsid w:val="007E06E1"/>
    <w:rsid w:val="00836D6D"/>
    <w:rsid w:val="00843BDD"/>
    <w:rsid w:val="008515D7"/>
    <w:rsid w:val="008577C0"/>
    <w:rsid w:val="00864356"/>
    <w:rsid w:val="008729E6"/>
    <w:rsid w:val="008800F4"/>
    <w:rsid w:val="008A1E48"/>
    <w:rsid w:val="008A25A0"/>
    <w:rsid w:val="008D0620"/>
    <w:rsid w:val="008E6986"/>
    <w:rsid w:val="00907834"/>
    <w:rsid w:val="00920CD2"/>
    <w:rsid w:val="0093576E"/>
    <w:rsid w:val="00937284"/>
    <w:rsid w:val="009423F4"/>
    <w:rsid w:val="009645DD"/>
    <w:rsid w:val="00972020"/>
    <w:rsid w:val="009811A0"/>
    <w:rsid w:val="00994D99"/>
    <w:rsid w:val="009B0940"/>
    <w:rsid w:val="009C22EE"/>
    <w:rsid w:val="009D2386"/>
    <w:rsid w:val="009F1F78"/>
    <w:rsid w:val="009F4438"/>
    <w:rsid w:val="009F5E25"/>
    <w:rsid w:val="00A27932"/>
    <w:rsid w:val="00A36CA8"/>
    <w:rsid w:val="00A53981"/>
    <w:rsid w:val="00A64448"/>
    <w:rsid w:val="00A77943"/>
    <w:rsid w:val="00A87714"/>
    <w:rsid w:val="00AA3A53"/>
    <w:rsid w:val="00AA4B79"/>
    <w:rsid w:val="00AA4FAC"/>
    <w:rsid w:val="00AC71FF"/>
    <w:rsid w:val="00AE1207"/>
    <w:rsid w:val="00AE335A"/>
    <w:rsid w:val="00AF3614"/>
    <w:rsid w:val="00B02B07"/>
    <w:rsid w:val="00B04175"/>
    <w:rsid w:val="00B3325A"/>
    <w:rsid w:val="00B4276C"/>
    <w:rsid w:val="00B57229"/>
    <w:rsid w:val="00B60F78"/>
    <w:rsid w:val="00B73A2C"/>
    <w:rsid w:val="00B81DE8"/>
    <w:rsid w:val="00BA3918"/>
    <w:rsid w:val="00BA53B9"/>
    <w:rsid w:val="00BD7013"/>
    <w:rsid w:val="00BE4A30"/>
    <w:rsid w:val="00BF0EFA"/>
    <w:rsid w:val="00C16065"/>
    <w:rsid w:val="00C27583"/>
    <w:rsid w:val="00C4028B"/>
    <w:rsid w:val="00C41F52"/>
    <w:rsid w:val="00C51B99"/>
    <w:rsid w:val="00C81FA3"/>
    <w:rsid w:val="00C83296"/>
    <w:rsid w:val="00CB4859"/>
    <w:rsid w:val="00CC54F5"/>
    <w:rsid w:val="00CF4804"/>
    <w:rsid w:val="00D01732"/>
    <w:rsid w:val="00D23FC4"/>
    <w:rsid w:val="00D4767C"/>
    <w:rsid w:val="00D52B0F"/>
    <w:rsid w:val="00D52E2F"/>
    <w:rsid w:val="00D64482"/>
    <w:rsid w:val="00D869FF"/>
    <w:rsid w:val="00D974F4"/>
    <w:rsid w:val="00DA0543"/>
    <w:rsid w:val="00DB35B1"/>
    <w:rsid w:val="00DC1C4F"/>
    <w:rsid w:val="00DF0B75"/>
    <w:rsid w:val="00DF310E"/>
    <w:rsid w:val="00E012C7"/>
    <w:rsid w:val="00E02C1E"/>
    <w:rsid w:val="00E0515F"/>
    <w:rsid w:val="00E31C44"/>
    <w:rsid w:val="00E41041"/>
    <w:rsid w:val="00E73D05"/>
    <w:rsid w:val="00E8569B"/>
    <w:rsid w:val="00EA0FA0"/>
    <w:rsid w:val="00EC04CF"/>
    <w:rsid w:val="00ED4D0B"/>
    <w:rsid w:val="00EE693B"/>
    <w:rsid w:val="00EF5E89"/>
    <w:rsid w:val="00F10327"/>
    <w:rsid w:val="00F3553E"/>
    <w:rsid w:val="00F717B4"/>
    <w:rsid w:val="00F81CA2"/>
    <w:rsid w:val="00F86CF8"/>
    <w:rsid w:val="00FB4CCB"/>
    <w:rsid w:val="00FC4121"/>
    <w:rsid w:val="00FC732B"/>
    <w:rsid w:val="00FD6FE0"/>
    <w:rsid w:val="00FF40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65B13E"/>
  <w15:docId w15:val="{2FE156D4-E458-4519-9392-5C57C47D0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17C"/>
    <w:rPr>
      <w:sz w:val="24"/>
      <w:szCs w:val="24"/>
    </w:rPr>
  </w:style>
  <w:style w:type="paragraph" w:styleId="Heading2">
    <w:name w:val="heading 2"/>
    <w:basedOn w:val="Normal"/>
    <w:next w:val="Normal"/>
    <w:link w:val="Heading2Char"/>
    <w:semiHidden/>
    <w:unhideWhenUsed/>
    <w:qFormat/>
    <w:rsid w:val="00E4104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54383D"/>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322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451C74"/>
    <w:rPr>
      <w:rFonts w:ascii="Tahoma" w:hAnsi="Tahoma" w:cs="Tahoma"/>
      <w:sz w:val="16"/>
      <w:szCs w:val="16"/>
    </w:rPr>
  </w:style>
  <w:style w:type="character" w:customStyle="1" w:styleId="BalloonTextChar">
    <w:name w:val="Balloon Text Char"/>
    <w:basedOn w:val="DefaultParagraphFont"/>
    <w:link w:val="BalloonText"/>
    <w:rsid w:val="00451C74"/>
    <w:rPr>
      <w:rFonts w:ascii="Tahoma" w:hAnsi="Tahoma" w:cs="Tahoma"/>
      <w:sz w:val="16"/>
      <w:szCs w:val="16"/>
      <w:lang w:val="en-US" w:eastAsia="en-US"/>
    </w:rPr>
  </w:style>
  <w:style w:type="paragraph" w:styleId="Header">
    <w:name w:val="header"/>
    <w:basedOn w:val="Normal"/>
    <w:link w:val="HeaderChar"/>
    <w:rsid w:val="00C27583"/>
    <w:pPr>
      <w:tabs>
        <w:tab w:val="center" w:pos="4153"/>
        <w:tab w:val="right" w:pos="8306"/>
      </w:tabs>
    </w:pPr>
  </w:style>
  <w:style w:type="character" w:customStyle="1" w:styleId="HeaderChar">
    <w:name w:val="Header Char"/>
    <w:basedOn w:val="DefaultParagraphFont"/>
    <w:link w:val="Header"/>
    <w:rsid w:val="00C27583"/>
    <w:rPr>
      <w:sz w:val="24"/>
      <w:szCs w:val="24"/>
      <w:lang w:val="en-US" w:eastAsia="en-US"/>
    </w:rPr>
  </w:style>
  <w:style w:type="paragraph" w:styleId="Footer">
    <w:name w:val="footer"/>
    <w:basedOn w:val="Normal"/>
    <w:link w:val="FooterChar"/>
    <w:uiPriority w:val="99"/>
    <w:rsid w:val="00C27583"/>
    <w:pPr>
      <w:tabs>
        <w:tab w:val="center" w:pos="4153"/>
        <w:tab w:val="right" w:pos="8306"/>
      </w:tabs>
    </w:pPr>
  </w:style>
  <w:style w:type="character" w:customStyle="1" w:styleId="FooterChar">
    <w:name w:val="Footer Char"/>
    <w:basedOn w:val="DefaultParagraphFont"/>
    <w:link w:val="Footer"/>
    <w:uiPriority w:val="99"/>
    <w:rsid w:val="00C27583"/>
    <w:rPr>
      <w:sz w:val="24"/>
      <w:szCs w:val="24"/>
      <w:lang w:val="en-US" w:eastAsia="en-US"/>
    </w:rPr>
  </w:style>
  <w:style w:type="character" w:styleId="Hyperlink">
    <w:name w:val="Hyperlink"/>
    <w:basedOn w:val="DefaultParagraphFont"/>
    <w:rsid w:val="00142897"/>
    <w:rPr>
      <w:color w:val="0000FF"/>
      <w:u w:val="single"/>
    </w:rPr>
  </w:style>
  <w:style w:type="character" w:customStyle="1" w:styleId="Heading3Char">
    <w:name w:val="Heading 3 Char"/>
    <w:basedOn w:val="DefaultParagraphFont"/>
    <w:link w:val="Heading3"/>
    <w:rsid w:val="0054383D"/>
    <w:rPr>
      <w:b/>
      <w:bCs/>
      <w:sz w:val="27"/>
      <w:szCs w:val="27"/>
    </w:rPr>
  </w:style>
  <w:style w:type="paragraph" w:styleId="ListParagraph">
    <w:name w:val="List Paragraph"/>
    <w:basedOn w:val="Normal"/>
    <w:uiPriority w:val="34"/>
    <w:qFormat/>
    <w:rsid w:val="00CC54F5"/>
    <w:pPr>
      <w:ind w:left="720"/>
      <w:contextualSpacing/>
    </w:pPr>
  </w:style>
  <w:style w:type="character" w:styleId="CommentReference">
    <w:name w:val="annotation reference"/>
    <w:basedOn w:val="DefaultParagraphFont"/>
    <w:rsid w:val="00A64448"/>
    <w:rPr>
      <w:sz w:val="16"/>
      <w:szCs w:val="16"/>
    </w:rPr>
  </w:style>
  <w:style w:type="paragraph" w:styleId="CommentText">
    <w:name w:val="annotation text"/>
    <w:basedOn w:val="Normal"/>
    <w:link w:val="CommentTextChar"/>
    <w:rsid w:val="00A64448"/>
    <w:rPr>
      <w:sz w:val="20"/>
      <w:szCs w:val="20"/>
    </w:rPr>
  </w:style>
  <w:style w:type="character" w:customStyle="1" w:styleId="CommentTextChar">
    <w:name w:val="Comment Text Char"/>
    <w:basedOn w:val="DefaultParagraphFont"/>
    <w:link w:val="CommentText"/>
    <w:rsid w:val="00A64448"/>
  </w:style>
  <w:style w:type="character" w:customStyle="1" w:styleId="Heading2Char">
    <w:name w:val="Heading 2 Char"/>
    <w:basedOn w:val="DefaultParagraphFont"/>
    <w:link w:val="Heading2"/>
    <w:semiHidden/>
    <w:rsid w:val="00E41041"/>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uiPriority w:val="39"/>
    <w:rsid w:val="00DF310E"/>
    <w:rPr>
      <w:rFonts w:eastAsia="Calibri"/>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27932"/>
    <w:rPr>
      <w:rFonts w:eastAsia="Calibri"/>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108365">
      <w:bodyDiv w:val="1"/>
      <w:marLeft w:val="0"/>
      <w:marRight w:val="0"/>
      <w:marTop w:val="0"/>
      <w:marBottom w:val="0"/>
      <w:divBdr>
        <w:top w:val="none" w:sz="0" w:space="0" w:color="auto"/>
        <w:left w:val="none" w:sz="0" w:space="0" w:color="auto"/>
        <w:bottom w:val="none" w:sz="0" w:space="0" w:color="auto"/>
        <w:right w:val="none" w:sz="0" w:space="0" w:color="auto"/>
      </w:divBdr>
    </w:div>
    <w:div w:id="20018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stomerservice@adib.a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6BBD3-5148-4762-9E26-76F64C282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2136</Words>
  <Characters>12178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ect</Company>
  <LinksUpToDate>false</LinksUpToDate>
  <CharactersWithSpaces>14286</CharactersWithSpaces>
  <SharedDoc>false</SharedDoc>
  <HLinks>
    <vt:vector size="36" baseType="variant">
      <vt:variant>
        <vt:i4>4325458</vt:i4>
      </vt:variant>
      <vt:variant>
        <vt:i4>15</vt:i4>
      </vt:variant>
      <vt:variant>
        <vt:i4>0</vt:i4>
      </vt:variant>
      <vt:variant>
        <vt:i4>5</vt:i4>
      </vt:variant>
      <vt:variant>
        <vt:lpwstr>http://www.dice.com/</vt:lpwstr>
      </vt:variant>
      <vt:variant>
        <vt:lpwstr/>
      </vt:variant>
      <vt:variant>
        <vt:i4>4980763</vt:i4>
      </vt:variant>
      <vt:variant>
        <vt:i4>12</vt:i4>
      </vt:variant>
      <vt:variant>
        <vt:i4>0</vt:i4>
      </vt:variant>
      <vt:variant>
        <vt:i4>5</vt:i4>
      </vt:variant>
      <vt:variant>
        <vt:lpwstr>http://www.careerjournal.com/</vt:lpwstr>
      </vt:variant>
      <vt:variant>
        <vt:lpwstr/>
      </vt:variant>
      <vt:variant>
        <vt:i4>3866748</vt:i4>
      </vt:variant>
      <vt:variant>
        <vt:i4>9</vt:i4>
      </vt:variant>
      <vt:variant>
        <vt:i4>0</vt:i4>
      </vt:variant>
      <vt:variant>
        <vt:i4>5</vt:i4>
      </vt:variant>
      <vt:variant>
        <vt:lpwstr>http://www.vetjobs.com/</vt:lpwstr>
      </vt:variant>
      <vt:variant>
        <vt:lpwstr/>
      </vt:variant>
      <vt:variant>
        <vt:i4>2097256</vt:i4>
      </vt:variant>
      <vt:variant>
        <vt:i4>6</vt:i4>
      </vt:variant>
      <vt:variant>
        <vt:i4>0</vt:i4>
      </vt:variant>
      <vt:variant>
        <vt:i4>5</vt:i4>
      </vt:variant>
      <vt:variant>
        <vt:lpwstr>http://www.monster.com/</vt:lpwstr>
      </vt:variant>
      <vt:variant>
        <vt:lpwstr/>
      </vt:variant>
      <vt:variant>
        <vt:i4>4980763</vt:i4>
      </vt:variant>
      <vt:variant>
        <vt:i4>3</vt:i4>
      </vt:variant>
      <vt:variant>
        <vt:i4>0</vt:i4>
      </vt:variant>
      <vt:variant>
        <vt:i4>5</vt:i4>
      </vt:variant>
      <vt:variant>
        <vt:lpwstr>http://www.careerbuilder.com/</vt:lpwstr>
      </vt:variant>
      <vt:variant>
        <vt:lpwstr/>
      </vt:variant>
      <vt:variant>
        <vt:i4>5308504</vt:i4>
      </vt:variant>
      <vt:variant>
        <vt:i4>0</vt:i4>
      </vt:variant>
      <vt:variant>
        <vt:i4>0</vt:i4>
      </vt:variant>
      <vt:variant>
        <vt:i4>5</vt:i4>
      </vt:variant>
      <vt:variant>
        <vt:lpwstr>http://www.collegerecruiter.com/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dc:creator>
  <cp:lastModifiedBy>user</cp:lastModifiedBy>
  <cp:revision>2</cp:revision>
  <cp:lastPrinted>2018-12-11T16:20:00Z</cp:lastPrinted>
  <dcterms:created xsi:type="dcterms:W3CDTF">2020-05-15T16:35:00Z</dcterms:created>
  <dcterms:modified xsi:type="dcterms:W3CDTF">2020-05-15T16:35:00Z</dcterms:modified>
</cp:coreProperties>
</file>